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D1CE" w14:textId="77777777" w:rsidR="00FE7F2D" w:rsidRPr="00561548" w:rsidRDefault="00FE7F2D" w:rsidP="00FE7F2D">
      <w:pPr>
        <w:spacing w:after="0" w:line="240" w:lineRule="auto"/>
        <w:rPr>
          <w:sz w:val="28"/>
          <w:szCs w:val="28"/>
          <w:lang w:val="ru-RU"/>
        </w:rPr>
      </w:pPr>
      <w:r w:rsidRPr="00561548">
        <w:rPr>
          <w:b/>
          <w:bCs/>
          <w:sz w:val="28"/>
          <w:szCs w:val="28"/>
        </w:rPr>
        <w:t>Шахбазян Карина Суренівна</w:t>
      </w:r>
      <w:r w:rsidRPr="00561548">
        <w:rPr>
          <w:sz w:val="28"/>
          <w:szCs w:val="28"/>
          <w:lang w:val="ru-RU"/>
        </w:rPr>
        <w:t>,</w:t>
      </w:r>
    </w:p>
    <w:p w14:paraId="3F0E714D" w14:textId="77777777" w:rsidR="00FE7F2D" w:rsidRPr="00BC7866" w:rsidRDefault="00FE7F2D" w:rsidP="00FE7F2D">
      <w:pPr>
        <w:spacing w:after="0" w:line="240" w:lineRule="auto"/>
        <w:rPr>
          <w:sz w:val="28"/>
          <w:szCs w:val="28"/>
        </w:rPr>
      </w:pPr>
      <w:r w:rsidRPr="00BC7866">
        <w:rPr>
          <w:sz w:val="28"/>
          <w:szCs w:val="28"/>
        </w:rPr>
        <w:t>ORCID</w:t>
      </w:r>
      <w:r w:rsidRPr="00561548">
        <w:rPr>
          <w:sz w:val="28"/>
          <w:szCs w:val="28"/>
          <w:lang w:val="ru-RU"/>
        </w:rPr>
        <w:t xml:space="preserve"> </w:t>
      </w:r>
      <w:r w:rsidRPr="00BC7866">
        <w:rPr>
          <w:sz w:val="28"/>
          <w:szCs w:val="28"/>
        </w:rPr>
        <w:t xml:space="preserve"> </w:t>
      </w:r>
      <w:hyperlink r:id="rId4" w:history="1">
        <w:r w:rsidRPr="00464C55">
          <w:rPr>
            <w:rStyle w:val="a3"/>
            <w:sz w:val="28"/>
            <w:szCs w:val="28"/>
          </w:rPr>
          <w:t>https</w:t>
        </w:r>
        <w:r w:rsidRPr="00561548">
          <w:rPr>
            <w:rStyle w:val="a3"/>
            <w:sz w:val="28"/>
            <w:szCs w:val="28"/>
            <w:lang w:val="ru-RU"/>
          </w:rPr>
          <w:t>://</w:t>
        </w:r>
        <w:r w:rsidRPr="00464C55">
          <w:rPr>
            <w:rStyle w:val="a3"/>
            <w:sz w:val="28"/>
            <w:szCs w:val="28"/>
          </w:rPr>
          <w:t>orcid</w:t>
        </w:r>
        <w:r w:rsidRPr="00561548">
          <w:rPr>
            <w:rStyle w:val="a3"/>
            <w:sz w:val="28"/>
            <w:szCs w:val="28"/>
            <w:lang w:val="ru-RU"/>
          </w:rPr>
          <w:t>.</w:t>
        </w:r>
        <w:r w:rsidRPr="00464C55">
          <w:rPr>
            <w:rStyle w:val="a3"/>
            <w:sz w:val="28"/>
            <w:szCs w:val="28"/>
          </w:rPr>
          <w:t>org</w:t>
        </w:r>
        <w:r w:rsidRPr="00561548">
          <w:rPr>
            <w:rStyle w:val="a3"/>
            <w:sz w:val="28"/>
            <w:szCs w:val="28"/>
            <w:lang w:val="ru-RU"/>
          </w:rPr>
          <w:t>/0000-0002-2205-374</w:t>
        </w:r>
        <w:r w:rsidRPr="00464C55">
          <w:rPr>
            <w:rStyle w:val="a3"/>
            <w:sz w:val="28"/>
            <w:szCs w:val="28"/>
          </w:rPr>
          <w:t>X</w:t>
        </w:r>
      </w:hyperlink>
      <w:r w:rsidRPr="00561548">
        <w:rPr>
          <w:sz w:val="28"/>
          <w:szCs w:val="28"/>
          <w:lang w:val="ru-RU"/>
        </w:rPr>
        <w:t xml:space="preserve">, </w:t>
      </w:r>
      <w:r w:rsidRPr="00BC7866">
        <w:rPr>
          <w:sz w:val="28"/>
          <w:szCs w:val="28"/>
        </w:rPr>
        <w:t xml:space="preserve">  </w:t>
      </w:r>
    </w:p>
    <w:p w14:paraId="281D69EC" w14:textId="77777777" w:rsidR="00FE7F2D" w:rsidRPr="00561548" w:rsidRDefault="00FE7F2D" w:rsidP="00FE7F2D">
      <w:pPr>
        <w:spacing w:after="0" w:line="240" w:lineRule="auto"/>
        <w:rPr>
          <w:sz w:val="28"/>
          <w:szCs w:val="28"/>
          <w:lang w:val="ru-RU"/>
        </w:rPr>
      </w:pPr>
      <w:r w:rsidRPr="00BC7866">
        <w:rPr>
          <w:sz w:val="28"/>
          <w:szCs w:val="28"/>
        </w:rPr>
        <w:t>кандидатка юридичних наук</w:t>
      </w:r>
      <w:r w:rsidRPr="00561548">
        <w:rPr>
          <w:sz w:val="28"/>
          <w:szCs w:val="28"/>
          <w:lang w:val="ru-RU"/>
        </w:rPr>
        <w:t>,</w:t>
      </w:r>
    </w:p>
    <w:p w14:paraId="0B753923" w14:textId="77777777" w:rsidR="00FE7F2D" w:rsidRPr="00561548" w:rsidRDefault="00FE7F2D" w:rsidP="00FE7F2D">
      <w:pPr>
        <w:spacing w:after="0" w:line="240" w:lineRule="auto"/>
        <w:rPr>
          <w:sz w:val="28"/>
          <w:szCs w:val="28"/>
          <w:lang w:val="ru-RU"/>
        </w:rPr>
      </w:pPr>
      <w:r w:rsidRPr="00BC7866">
        <w:rPr>
          <w:sz w:val="28"/>
          <w:szCs w:val="28"/>
        </w:rPr>
        <w:t>учен</w:t>
      </w:r>
      <w:r>
        <w:rPr>
          <w:sz w:val="28"/>
          <w:szCs w:val="28"/>
        </w:rPr>
        <w:t xml:space="preserve">а </w:t>
      </w:r>
      <w:r w:rsidRPr="00BC7866">
        <w:rPr>
          <w:sz w:val="28"/>
          <w:szCs w:val="28"/>
        </w:rPr>
        <w:t>секретар</w:t>
      </w:r>
      <w:r>
        <w:rPr>
          <w:sz w:val="28"/>
          <w:szCs w:val="28"/>
        </w:rPr>
        <w:t>ка</w:t>
      </w:r>
      <w:r w:rsidRPr="00561548">
        <w:rPr>
          <w:sz w:val="28"/>
          <w:szCs w:val="28"/>
          <w:lang w:val="ru-RU"/>
        </w:rPr>
        <w:t>,</w:t>
      </w:r>
    </w:p>
    <w:p w14:paraId="2B1DA23F" w14:textId="77777777" w:rsidR="00FE7F2D" w:rsidRPr="00561548" w:rsidRDefault="00FE7F2D" w:rsidP="00FE7F2D">
      <w:pPr>
        <w:spacing w:after="0" w:line="240" w:lineRule="auto"/>
        <w:rPr>
          <w:sz w:val="28"/>
          <w:szCs w:val="28"/>
          <w:lang w:val="ru-RU"/>
        </w:rPr>
      </w:pPr>
      <w:r w:rsidRPr="00BC7866">
        <w:rPr>
          <w:sz w:val="28"/>
          <w:szCs w:val="28"/>
        </w:rPr>
        <w:t>Центр досліджень інтелектуальної власності та трансферу технологій Н</w:t>
      </w:r>
      <w:r>
        <w:rPr>
          <w:sz w:val="28"/>
          <w:szCs w:val="28"/>
        </w:rPr>
        <w:t>аціональної академії наук України</w:t>
      </w:r>
      <w:r w:rsidRPr="00561548">
        <w:rPr>
          <w:sz w:val="28"/>
          <w:szCs w:val="28"/>
          <w:lang w:val="ru-RU"/>
        </w:rPr>
        <w:t>,</w:t>
      </w:r>
    </w:p>
    <w:p w14:paraId="2AE61D02" w14:textId="77777777" w:rsidR="00FE7F2D" w:rsidRPr="00BC7866" w:rsidRDefault="00FE7F2D" w:rsidP="00FE7F2D">
      <w:pPr>
        <w:spacing w:after="0" w:line="240" w:lineRule="auto"/>
        <w:rPr>
          <w:sz w:val="28"/>
          <w:szCs w:val="28"/>
        </w:rPr>
      </w:pPr>
      <w:r w:rsidRPr="00BC7866">
        <w:rPr>
          <w:sz w:val="28"/>
          <w:szCs w:val="28"/>
        </w:rPr>
        <w:t>Київ, Україна</w:t>
      </w:r>
    </w:p>
    <w:p w14:paraId="58F3B290" w14:textId="77777777" w:rsidR="00FE7F2D" w:rsidRPr="003927F9" w:rsidRDefault="00FE7F2D" w:rsidP="00FE7F2D">
      <w:pPr>
        <w:spacing w:after="0" w:line="240" w:lineRule="auto"/>
        <w:rPr>
          <w:sz w:val="28"/>
          <w:szCs w:val="28"/>
        </w:rPr>
      </w:pPr>
      <w:r w:rsidRPr="00BC7866">
        <w:rPr>
          <w:sz w:val="28"/>
          <w:szCs w:val="28"/>
        </w:rPr>
        <w:t xml:space="preserve">e-mail: </w:t>
      </w:r>
      <w:hyperlink r:id="rId5" w:history="1">
        <w:r w:rsidRPr="00BC7866">
          <w:rPr>
            <w:rStyle w:val="a3"/>
            <w:sz w:val="28"/>
            <w:szCs w:val="28"/>
            <w:lang w:val="en-GB"/>
          </w:rPr>
          <w:t>karina</w:t>
        </w:r>
        <w:r w:rsidRPr="003927F9">
          <w:rPr>
            <w:rStyle w:val="a3"/>
            <w:sz w:val="28"/>
            <w:szCs w:val="28"/>
          </w:rPr>
          <w:t>@</w:t>
        </w:r>
        <w:r w:rsidRPr="00BC7866">
          <w:rPr>
            <w:rStyle w:val="a3"/>
            <w:sz w:val="28"/>
            <w:szCs w:val="28"/>
          </w:rPr>
          <w:t>nas.gov.ua</w:t>
        </w:r>
      </w:hyperlink>
      <w:r w:rsidRPr="003927F9">
        <w:rPr>
          <w:sz w:val="28"/>
          <w:szCs w:val="28"/>
        </w:rPr>
        <w:t xml:space="preserve">  </w:t>
      </w:r>
    </w:p>
    <w:p w14:paraId="18161A2D" w14:textId="77777777" w:rsidR="00FE7F2D" w:rsidRDefault="00FE7F2D" w:rsidP="00FE7F2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2F6FE5A" w14:textId="77777777" w:rsidR="00FE7F2D" w:rsidRDefault="00FE7F2D" w:rsidP="00FE7F2D">
      <w:pPr>
        <w:adjustRightInd w:val="0"/>
        <w:spacing w:after="0" w:line="240" w:lineRule="auto"/>
        <w:ind w:firstLine="510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Політика в</w:t>
      </w:r>
      <w:r w:rsidRPr="00BC7866">
        <w:rPr>
          <w:b/>
          <w:bCs/>
          <w:sz w:val="28"/>
          <w:szCs w:val="28"/>
        </w:rPr>
        <w:t>ідкрит</w:t>
      </w:r>
      <w:r>
        <w:rPr>
          <w:b/>
          <w:bCs/>
          <w:sz w:val="28"/>
          <w:szCs w:val="28"/>
        </w:rPr>
        <w:t>ого</w:t>
      </w:r>
      <w:r w:rsidRPr="00BC7866">
        <w:rPr>
          <w:b/>
          <w:bCs/>
          <w:sz w:val="28"/>
          <w:szCs w:val="28"/>
        </w:rPr>
        <w:t xml:space="preserve"> доступ</w:t>
      </w:r>
      <w:r>
        <w:rPr>
          <w:b/>
          <w:bCs/>
          <w:sz w:val="28"/>
          <w:szCs w:val="28"/>
        </w:rPr>
        <w:t>у в</w:t>
      </w:r>
      <w:r w:rsidRPr="00BC7866">
        <w:rPr>
          <w:b/>
          <w:bCs/>
          <w:sz w:val="28"/>
          <w:szCs w:val="28"/>
          <w:lang w:val="ru-RU"/>
        </w:rPr>
        <w:t xml:space="preserve"> </w:t>
      </w:r>
      <w:r w:rsidRPr="00BC7866">
        <w:rPr>
          <w:b/>
          <w:bCs/>
          <w:sz w:val="28"/>
          <w:szCs w:val="28"/>
        </w:rPr>
        <w:t>Рамкових програмах наукових досліджень та інновацій ЄС</w:t>
      </w:r>
    </w:p>
    <w:p w14:paraId="7888798A" w14:textId="77777777" w:rsidR="00FE7F2D" w:rsidRPr="00561548" w:rsidRDefault="00FE7F2D" w:rsidP="00FE7F2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6ABA1D7" w14:textId="77777777" w:rsidR="00FE7F2D" w:rsidRPr="00D770DC" w:rsidRDefault="00FE7F2D" w:rsidP="00FE7F2D">
      <w:pPr>
        <w:spacing w:after="0" w:line="240" w:lineRule="auto"/>
        <w:jc w:val="both"/>
        <w:rPr>
          <w:sz w:val="28"/>
          <w:szCs w:val="28"/>
        </w:rPr>
      </w:pPr>
      <w:r w:rsidRPr="00D770DC">
        <w:rPr>
          <w:sz w:val="28"/>
          <w:szCs w:val="28"/>
        </w:rPr>
        <w:t>Розглянут</w:t>
      </w:r>
      <w:r>
        <w:rPr>
          <w:sz w:val="28"/>
          <w:szCs w:val="28"/>
        </w:rPr>
        <w:t>о</w:t>
      </w:r>
      <w:r w:rsidRPr="00D770DC">
        <w:rPr>
          <w:sz w:val="28"/>
          <w:szCs w:val="28"/>
        </w:rPr>
        <w:t xml:space="preserve"> питання регулювання відкритої науки в ЄС, зокрема, при проведенні спільних міжнародних досліджень та розробок – при виконанні проєктів Рамкової програми «Горизонт Європа». Визначен</w:t>
      </w:r>
      <w:r>
        <w:rPr>
          <w:sz w:val="28"/>
          <w:szCs w:val="28"/>
        </w:rPr>
        <w:t>о</w:t>
      </w:r>
      <w:r w:rsidRPr="00D770DC">
        <w:rPr>
          <w:sz w:val="28"/>
          <w:szCs w:val="28"/>
        </w:rPr>
        <w:t xml:space="preserve"> питання відкритої науки, що закріплені в Модельній грантовій </w:t>
      </w:r>
      <w:r>
        <w:rPr>
          <w:sz w:val="28"/>
          <w:szCs w:val="28"/>
        </w:rPr>
        <w:t>у</w:t>
      </w:r>
      <w:r w:rsidRPr="00D770DC">
        <w:rPr>
          <w:sz w:val="28"/>
          <w:szCs w:val="28"/>
        </w:rPr>
        <w:t>годі та угоді консорціуму, які використовуються для проєк</w:t>
      </w:r>
      <w:r>
        <w:rPr>
          <w:sz w:val="28"/>
          <w:szCs w:val="28"/>
        </w:rPr>
        <w:t>т</w:t>
      </w:r>
      <w:r w:rsidRPr="00D770DC">
        <w:rPr>
          <w:sz w:val="28"/>
          <w:szCs w:val="28"/>
        </w:rPr>
        <w:t>ів РП «Горизонт Європа»</w:t>
      </w:r>
      <w:r>
        <w:rPr>
          <w:sz w:val="28"/>
          <w:szCs w:val="28"/>
        </w:rPr>
        <w:t xml:space="preserve"> </w:t>
      </w:r>
      <w:r w:rsidRPr="00D770DC">
        <w:rPr>
          <w:sz w:val="28"/>
          <w:szCs w:val="28"/>
        </w:rPr>
        <w:t>(поширення результатів, доступ до них, публікації та умови відкритого доступу</w:t>
      </w:r>
      <w:r>
        <w:rPr>
          <w:sz w:val="28"/>
          <w:szCs w:val="28"/>
        </w:rPr>
        <w:t>)</w:t>
      </w:r>
      <w:r w:rsidRPr="00D770DC">
        <w:rPr>
          <w:sz w:val="28"/>
          <w:szCs w:val="28"/>
        </w:rPr>
        <w:t xml:space="preserve">. </w:t>
      </w:r>
    </w:p>
    <w:p w14:paraId="216C6E94" w14:textId="77777777" w:rsidR="00FE7F2D" w:rsidRPr="003A39C3" w:rsidRDefault="00FE7F2D" w:rsidP="00FE7F2D">
      <w:pPr>
        <w:spacing w:after="0" w:line="240" w:lineRule="auto"/>
        <w:jc w:val="both"/>
        <w:rPr>
          <w:sz w:val="28"/>
          <w:szCs w:val="28"/>
        </w:rPr>
      </w:pPr>
      <w:r w:rsidRPr="00D770DC">
        <w:rPr>
          <w:i/>
          <w:iCs/>
          <w:sz w:val="28"/>
          <w:szCs w:val="28"/>
        </w:rPr>
        <w:t>Ключові слова</w:t>
      </w:r>
      <w:r w:rsidRPr="00D770DC">
        <w:rPr>
          <w:sz w:val="28"/>
          <w:szCs w:val="28"/>
        </w:rPr>
        <w:t>: відкрита наука в ЄС, відкритий доступ, дослідницькі дані, наукові публікації, ліцензії ві</w:t>
      </w:r>
      <w:r>
        <w:rPr>
          <w:sz w:val="28"/>
          <w:szCs w:val="28"/>
        </w:rPr>
        <w:t>льного</w:t>
      </w:r>
      <w:r w:rsidRPr="00D770DC">
        <w:rPr>
          <w:sz w:val="28"/>
          <w:szCs w:val="28"/>
        </w:rPr>
        <w:t xml:space="preserve"> доступу.</w:t>
      </w:r>
    </w:p>
    <w:p w14:paraId="57DAE374" w14:textId="77777777" w:rsidR="00FE7F2D" w:rsidRPr="00D21B1A" w:rsidRDefault="00FE7F2D" w:rsidP="00FE7F2D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354C21F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Політику Європейської комісії з питань доступу до наукових публікацій викладено у </w:t>
      </w:r>
      <w:r>
        <w:rPr>
          <w:sz w:val="28"/>
          <w:szCs w:val="28"/>
        </w:rPr>
        <w:t>«</w:t>
      </w:r>
      <w:r w:rsidRPr="00127C77">
        <w:rPr>
          <w:i/>
          <w:sz w:val="28"/>
          <w:szCs w:val="28"/>
        </w:rPr>
        <w:t>Керівництві щодо Відкритого доступу до наукових публікацій та даних наукових досліджень</w:t>
      </w:r>
      <w:r>
        <w:rPr>
          <w:sz w:val="28"/>
          <w:szCs w:val="28"/>
        </w:rPr>
        <w:t xml:space="preserve">» </w:t>
      </w:r>
      <w:r w:rsidRPr="00FF179A">
        <w:rPr>
          <w:sz w:val="28"/>
          <w:szCs w:val="28"/>
        </w:rPr>
        <w:t>у програмі «Горизонт 2020» (далі </w:t>
      </w:r>
      <w:r>
        <w:rPr>
          <w:sz w:val="28"/>
          <w:szCs w:val="28"/>
        </w:rPr>
        <w:t>–</w:t>
      </w:r>
      <w:r w:rsidRPr="00FF179A">
        <w:rPr>
          <w:sz w:val="28"/>
          <w:szCs w:val="28"/>
        </w:rPr>
        <w:t xml:space="preserve"> Керівництво) 2013 р.</w:t>
      </w:r>
      <w:r>
        <w:rPr>
          <w:sz w:val="28"/>
          <w:szCs w:val="28"/>
        </w:rPr>
        <w:t xml:space="preserve"> (</w:t>
      </w:r>
      <w:r w:rsidRPr="00194B46">
        <w:rPr>
          <w:sz w:val="28"/>
          <w:szCs w:val="28"/>
        </w:rPr>
        <w:t xml:space="preserve">Guidelines to the Rules on Open Access to Scientific Publications and Open Access to Research Datain Horizon 2020. URL: </w:t>
      </w:r>
      <w:hyperlink r:id="rId6" w:history="1">
        <w:r w:rsidRPr="00194B46">
          <w:rPr>
            <w:rStyle w:val="a3"/>
            <w:sz w:val="28"/>
            <w:szCs w:val="28"/>
          </w:rPr>
          <w:t>https://ec.europa.eu/research/participants/data/ref/h2020/grants_manual/hi/oa_pilot/h2020-hi-oa-pilot-guide_en.pdf</w:t>
        </w:r>
      </w:hyperlink>
      <w:r>
        <w:rPr>
          <w:sz w:val="28"/>
          <w:szCs w:val="28"/>
        </w:rPr>
        <w:t>).</w:t>
      </w:r>
      <w:r w:rsidRPr="00FF179A">
        <w:rPr>
          <w:sz w:val="28"/>
          <w:szCs w:val="28"/>
        </w:rPr>
        <w:t xml:space="preserve"> Керівництво є чинним і в наступній РП «Горизонт Європа».</w:t>
      </w:r>
      <w:r>
        <w:rPr>
          <w:sz w:val="28"/>
          <w:szCs w:val="28"/>
        </w:rPr>
        <w:t xml:space="preserve"> В ньому </w:t>
      </w:r>
      <w:r w:rsidRPr="00FF179A">
        <w:rPr>
          <w:sz w:val="28"/>
          <w:szCs w:val="28"/>
        </w:rPr>
        <w:t xml:space="preserve">зазначено переваги публікації результатів роботи у </w:t>
      </w:r>
      <w:r>
        <w:rPr>
          <w:sz w:val="28"/>
          <w:szCs w:val="28"/>
        </w:rPr>
        <w:t>відкритому доступі (</w:t>
      </w:r>
      <w:r w:rsidRPr="00FF179A">
        <w:rPr>
          <w:sz w:val="28"/>
          <w:szCs w:val="28"/>
        </w:rPr>
        <w:t>ВД</w:t>
      </w:r>
      <w:r>
        <w:rPr>
          <w:sz w:val="28"/>
          <w:szCs w:val="28"/>
        </w:rPr>
        <w:t>)</w:t>
      </w:r>
      <w:r w:rsidRPr="00FF17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поліпшення результатів наукової діяльності завдяки зверненню до даних попередніх досліджень;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заохочення взаємодії вчених; уникнення дублювання досліджень;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прискорення в</w:t>
      </w:r>
      <w:r>
        <w:rPr>
          <w:sz w:val="28"/>
          <w:szCs w:val="28"/>
        </w:rPr>
        <w:t>прова</w:t>
      </w:r>
      <w:r w:rsidRPr="00FF179A">
        <w:rPr>
          <w:sz w:val="28"/>
          <w:szCs w:val="28"/>
        </w:rPr>
        <w:t>д</w:t>
      </w:r>
      <w:r>
        <w:rPr>
          <w:sz w:val="28"/>
          <w:szCs w:val="28"/>
        </w:rPr>
        <w:t>ж</w:t>
      </w:r>
      <w:r w:rsidRPr="00FF179A">
        <w:rPr>
          <w:sz w:val="28"/>
          <w:szCs w:val="28"/>
        </w:rPr>
        <w:t>ення інновацій;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підвищення прозорості наукового процесу.</w:t>
      </w:r>
    </w:p>
    <w:p w14:paraId="65A7BEBB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Грантоотримувачі в рамках програми зобов’язані депонувати можливу для зчитування машиною опубліковану версію наукової статті (попередньо рецензовану) до репозитарію наукових публікацій. Це має бути зроблено, по-перше, в короткі терміни, по-друге, навіть у тому разі, якщо публікування </w:t>
      </w:r>
      <w:r w:rsidRPr="00FF179A">
        <w:rPr>
          <w:sz w:val="28"/>
          <w:szCs w:val="28"/>
        </w:rPr>
        <w:lastRenderedPageBreak/>
        <w:t xml:space="preserve">відбувається в журналі відкритого доступу, оскільки депонування має забезпечити </w:t>
      </w:r>
      <w:r>
        <w:rPr>
          <w:sz w:val="28"/>
          <w:szCs w:val="28"/>
        </w:rPr>
        <w:t>збереження</w:t>
      </w:r>
      <w:r w:rsidRPr="00FF179A">
        <w:rPr>
          <w:sz w:val="28"/>
          <w:szCs w:val="28"/>
        </w:rPr>
        <w:t xml:space="preserve"> і доступність статті в довгостроковій перспективі. </w:t>
      </w:r>
    </w:p>
    <w:p w14:paraId="6F4CF0DD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Вибір репозит</w:t>
      </w:r>
      <w:r>
        <w:rPr>
          <w:sz w:val="28"/>
          <w:szCs w:val="28"/>
        </w:rPr>
        <w:t>а</w:t>
      </w:r>
      <w:r w:rsidRPr="00FF179A">
        <w:rPr>
          <w:sz w:val="28"/>
          <w:szCs w:val="28"/>
        </w:rPr>
        <w:t>рію залишається за авторами дослідження, але забезпечити публікацію потрібно не пізніше, ніж через рік для гуманітарних наук і через півроку </w:t>
      </w:r>
      <w:r>
        <w:rPr>
          <w:sz w:val="28"/>
          <w:szCs w:val="28"/>
        </w:rPr>
        <w:t>–</w:t>
      </w:r>
      <w:r w:rsidRPr="00FF179A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 xml:space="preserve">інших. </w:t>
      </w:r>
      <w:r>
        <w:rPr>
          <w:sz w:val="28"/>
          <w:szCs w:val="28"/>
        </w:rPr>
        <w:t>В</w:t>
      </w:r>
      <w:r w:rsidRPr="00FF179A">
        <w:rPr>
          <w:sz w:val="28"/>
          <w:szCs w:val="28"/>
        </w:rPr>
        <w:t xml:space="preserve"> цілому рекомендується все ж не передавати видавництву виключних прав і здійснювати публікацію на основі ліцензій </w:t>
      </w:r>
      <w:r w:rsidRPr="00FF179A">
        <w:rPr>
          <w:i/>
          <w:iCs/>
          <w:sz w:val="28"/>
          <w:szCs w:val="28"/>
        </w:rPr>
        <w:t>Creative Commons</w:t>
      </w:r>
      <w:r w:rsidRPr="00FF179A">
        <w:rPr>
          <w:sz w:val="28"/>
          <w:szCs w:val="28"/>
        </w:rPr>
        <w:t>. У Керівництві згадується також особливість публікації у разі, якщо результати досліджень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можуть бути комерціалізовані. У цьому випадку рекомендується до публікації подати патентну заявку. Такий підхід має назву «захищена публікація». Серед його переваг зазначаються: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забезпечення можливості патентування технічних рішень; заявка не може бути відхилена патентним відомством унаслідок оприлюднення технічного рішення до подання заявки;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зниження ризиків судових процесів;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сприяння вільному поширенню знань.</w:t>
      </w:r>
    </w:p>
    <w:p w14:paraId="75C13276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Зазначимо, що нині діє чотири моделі ві</w:t>
      </w:r>
      <w:r>
        <w:rPr>
          <w:sz w:val="28"/>
          <w:szCs w:val="28"/>
        </w:rPr>
        <w:t>льного</w:t>
      </w:r>
      <w:r w:rsidRPr="00FF179A">
        <w:rPr>
          <w:sz w:val="28"/>
          <w:szCs w:val="28"/>
        </w:rPr>
        <w:t xml:space="preserve"> доступу: </w:t>
      </w:r>
      <w:r w:rsidRPr="00FF179A">
        <w:rPr>
          <w:i/>
          <w:iCs/>
          <w:sz w:val="28"/>
          <w:szCs w:val="28"/>
        </w:rPr>
        <w:t>Green Open Access, Gold OA</w:t>
      </w:r>
      <w:r w:rsidRPr="00FF179A">
        <w:rPr>
          <w:sz w:val="28"/>
          <w:szCs w:val="28"/>
        </w:rPr>
        <w:t xml:space="preserve">, </w:t>
      </w:r>
      <w:r w:rsidRPr="00FF179A">
        <w:rPr>
          <w:i/>
          <w:iCs/>
          <w:sz w:val="28"/>
          <w:szCs w:val="28"/>
        </w:rPr>
        <w:t>Hybrid OA</w:t>
      </w:r>
      <w:r w:rsidRPr="00FF179A">
        <w:rPr>
          <w:sz w:val="28"/>
          <w:szCs w:val="28"/>
        </w:rPr>
        <w:t xml:space="preserve"> та </w:t>
      </w:r>
      <w:r w:rsidRPr="00FF179A">
        <w:rPr>
          <w:i/>
          <w:iCs/>
          <w:sz w:val="28"/>
          <w:szCs w:val="28"/>
        </w:rPr>
        <w:t>Diamond OA</w:t>
      </w:r>
      <w:r w:rsidRPr="00FF179A">
        <w:rPr>
          <w:sz w:val="28"/>
          <w:szCs w:val="28"/>
        </w:rPr>
        <w:t xml:space="preserve">. У Рамковій програмі «Горизонт Європа» рекомендовано для використання «золотий» та «зелений» шляхи. «Зелений» шлях означає, що автори надаватимуть доступ до своїх повнотекстових публікацій з архівуванням їх в інституційних або інших репозитаріях. Для вибору репозитарію рекомендується звернутися до бази ВД для досліджень у Європі </w:t>
      </w:r>
      <w:r w:rsidRPr="00FF179A">
        <w:rPr>
          <w:i/>
          <w:iCs/>
          <w:sz w:val="28"/>
          <w:szCs w:val="28"/>
        </w:rPr>
        <w:t>OpenAIRE</w:t>
      </w:r>
      <w:r w:rsidRPr="00FF179A">
        <w:rPr>
          <w:sz w:val="28"/>
          <w:szCs w:val="28"/>
        </w:rPr>
        <w:t xml:space="preserve">, реєстру сховищ ВД </w:t>
      </w:r>
      <w:r w:rsidRPr="00FF179A">
        <w:rPr>
          <w:i/>
          <w:iCs/>
          <w:sz w:val="28"/>
          <w:szCs w:val="28"/>
        </w:rPr>
        <w:t>ROAR</w:t>
      </w:r>
      <w:r w:rsidRPr="00FF179A">
        <w:rPr>
          <w:sz w:val="28"/>
          <w:szCs w:val="28"/>
        </w:rPr>
        <w:t xml:space="preserve"> та Каталогу репозитаріїв відкритого доступу </w:t>
      </w:r>
      <w:r w:rsidRPr="00FF179A">
        <w:rPr>
          <w:i/>
          <w:iCs/>
          <w:sz w:val="28"/>
          <w:szCs w:val="28"/>
        </w:rPr>
        <w:t>OpenDOAR</w:t>
      </w:r>
      <w:r w:rsidRPr="00FF179A">
        <w:rPr>
          <w:sz w:val="28"/>
          <w:szCs w:val="28"/>
        </w:rPr>
        <w:t xml:space="preserve"> (зазначені в документах Єврокомісії з відкритого доступу). «Золотий шлях» припускає, що статті відразу ж стають безкоштовно доступними для читачів після того, як їх опубліковано в журналах ВД. Вартість публікацій у цих журналах для авторів виявляється досить високою із можливістю оплати науковими фондами, працедавцями-організаціями.</w:t>
      </w:r>
      <w:r>
        <w:rPr>
          <w:sz w:val="28"/>
          <w:szCs w:val="28"/>
        </w:rPr>
        <w:t xml:space="preserve"> </w:t>
      </w:r>
      <w:r w:rsidRPr="00194B46">
        <w:rPr>
          <w:sz w:val="28"/>
          <w:szCs w:val="28"/>
        </w:rPr>
        <w:t>Hybrid OA запроваджено всіма великими видавництвами наукової періодики (Elsevier, Springer, Wiley та ін.) для своїх передплатних журналів, щоб миттєво відкрити доступ до тих статей, які їх автори хочуть зробити відкритими. У самому Плані S зазначено, що такі журнали не відповідають цьому Плану.</w:t>
      </w:r>
    </w:p>
    <w:p w14:paraId="0FB9D387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Розвиток «Діамантового» відкритого доступу пропонується Планом відкритого доступу Європейської асоціації університетів</w:t>
      </w:r>
      <w:r>
        <w:rPr>
          <w:sz w:val="28"/>
          <w:szCs w:val="28"/>
        </w:rPr>
        <w:t xml:space="preserve"> (</w:t>
      </w:r>
      <w:r w:rsidRPr="00194B46">
        <w:rPr>
          <w:sz w:val="28"/>
          <w:szCs w:val="28"/>
        </w:rPr>
        <w:t xml:space="preserve">The EUA Open Science </w:t>
      </w:r>
      <w:r w:rsidRPr="00194B46">
        <w:rPr>
          <w:sz w:val="28"/>
          <w:szCs w:val="28"/>
        </w:rPr>
        <w:lastRenderedPageBreak/>
        <w:t xml:space="preserve">Agenda 2025. European University Association. February, 2022. </w:t>
      </w:r>
      <w:r w:rsidRPr="00194B46">
        <w:rPr>
          <w:spacing w:val="-2"/>
          <w:sz w:val="28"/>
          <w:szCs w:val="28"/>
        </w:rPr>
        <w:t xml:space="preserve">URL: </w:t>
      </w:r>
      <w:hyperlink r:id="rId7" w:history="1">
        <w:r w:rsidRPr="00194B46">
          <w:rPr>
            <w:rStyle w:val="a3"/>
            <w:spacing w:val="-2"/>
            <w:sz w:val="28"/>
            <w:szCs w:val="28"/>
          </w:rPr>
          <w:t>https://www.eua.eu/publications/positions/the-eua-open-science-agenda-2025.html</w:t>
        </w:r>
      </w:hyperlink>
      <w:r>
        <w:rPr>
          <w:sz w:val="28"/>
          <w:szCs w:val="28"/>
        </w:rPr>
        <w:t>)</w:t>
      </w:r>
      <w:r w:rsidRPr="00FF179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FF179A">
        <w:rPr>
          <w:sz w:val="28"/>
          <w:szCs w:val="28"/>
        </w:rPr>
        <w:t>ередбачається реалізація заходів з поступової стандартизації видавничої діяльності таких журналів, зокрема узгодження стандартів якості, запровадження доступніших технічних послуг, забезпечення сумісності технічних рішень.</w:t>
      </w:r>
    </w:p>
    <w:p w14:paraId="66F4A2DB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Згідно з поясненнями Анотованої модельної грантової угоди до Додатку 5 «ст. 17 </w:t>
      </w:r>
      <w:r>
        <w:rPr>
          <w:sz w:val="28"/>
          <w:szCs w:val="28"/>
        </w:rPr>
        <w:t>–</w:t>
      </w:r>
      <w:r w:rsidRPr="00FF179A">
        <w:rPr>
          <w:sz w:val="28"/>
          <w:szCs w:val="28"/>
        </w:rPr>
        <w:t xml:space="preserve"> Відкрита</w:t>
      </w:r>
      <w:r>
        <w:rPr>
          <w:sz w:val="28"/>
          <w:szCs w:val="28"/>
        </w:rPr>
        <w:t xml:space="preserve"> </w:t>
      </w:r>
      <w:r w:rsidRPr="00FF179A">
        <w:rPr>
          <w:sz w:val="28"/>
          <w:szCs w:val="28"/>
        </w:rPr>
        <w:t>наука»</w:t>
      </w:r>
      <w:r>
        <w:rPr>
          <w:sz w:val="28"/>
          <w:szCs w:val="28"/>
        </w:rPr>
        <w:t xml:space="preserve"> (</w:t>
      </w:r>
      <w:r w:rsidRPr="00194B46">
        <w:rPr>
          <w:sz w:val="28"/>
          <w:szCs w:val="28"/>
        </w:rPr>
        <w:t>Annotate Model Grant Agreement «HORIZON Europe», EU Funding Programmes 2021—2027, issued 30 November, 2021., рр. 151—160. URL</w:t>
      </w:r>
      <w:r w:rsidRPr="00194B46">
        <w:rPr>
          <w:sz w:val="28"/>
          <w:szCs w:val="28"/>
          <w:lang w:val="ru-RU"/>
        </w:rPr>
        <w:t xml:space="preserve">: </w:t>
      </w:r>
      <w:hyperlink r:id="rId8" w:history="1">
        <w:r w:rsidRPr="00194B46">
          <w:rPr>
            <w:rStyle w:val="a3"/>
            <w:sz w:val="28"/>
            <w:szCs w:val="28"/>
          </w:rPr>
          <w:t>https</w:t>
        </w:r>
        <w:r w:rsidRPr="00194B46">
          <w:rPr>
            <w:rStyle w:val="a3"/>
            <w:sz w:val="28"/>
            <w:szCs w:val="28"/>
            <w:lang w:val="ru-RU"/>
          </w:rPr>
          <w:t>://</w:t>
        </w:r>
        <w:r w:rsidRPr="00194B46">
          <w:rPr>
            <w:rStyle w:val="a3"/>
            <w:sz w:val="28"/>
            <w:szCs w:val="28"/>
          </w:rPr>
          <w:t>ec</w:t>
        </w:r>
        <w:r w:rsidRPr="00194B46">
          <w:rPr>
            <w:rStyle w:val="a3"/>
            <w:sz w:val="28"/>
            <w:szCs w:val="28"/>
            <w:lang w:val="ru-RU"/>
          </w:rPr>
          <w:t>.</w:t>
        </w:r>
        <w:r w:rsidRPr="00194B46">
          <w:rPr>
            <w:rStyle w:val="a3"/>
            <w:sz w:val="28"/>
            <w:szCs w:val="28"/>
          </w:rPr>
          <w:t>europa</w:t>
        </w:r>
        <w:r w:rsidRPr="00194B46">
          <w:rPr>
            <w:rStyle w:val="a3"/>
            <w:sz w:val="28"/>
            <w:szCs w:val="28"/>
            <w:lang w:val="ru-RU"/>
          </w:rPr>
          <w:t>.</w:t>
        </w:r>
        <w:r w:rsidRPr="00194B46">
          <w:rPr>
            <w:rStyle w:val="a3"/>
            <w:sz w:val="28"/>
            <w:szCs w:val="28"/>
          </w:rPr>
          <w:t>eu</w:t>
        </w:r>
        <w:r w:rsidRPr="00194B46">
          <w:rPr>
            <w:rStyle w:val="a3"/>
            <w:sz w:val="28"/>
            <w:szCs w:val="28"/>
            <w:lang w:val="ru-RU"/>
          </w:rPr>
          <w:t>/</w:t>
        </w:r>
        <w:r w:rsidRPr="00194B46">
          <w:rPr>
            <w:rStyle w:val="a3"/>
            <w:sz w:val="28"/>
            <w:szCs w:val="28"/>
          </w:rPr>
          <w:t>info</w:t>
        </w:r>
        <w:r w:rsidRPr="00194B46">
          <w:rPr>
            <w:rStyle w:val="a3"/>
            <w:sz w:val="28"/>
            <w:szCs w:val="28"/>
            <w:lang w:val="ru-RU"/>
          </w:rPr>
          <w:t>/</w:t>
        </w:r>
        <w:r w:rsidRPr="00194B46">
          <w:rPr>
            <w:rStyle w:val="a3"/>
            <w:sz w:val="28"/>
            <w:szCs w:val="28"/>
          </w:rPr>
          <w:t>funding</w:t>
        </w:r>
        <w:r w:rsidRPr="00194B46">
          <w:rPr>
            <w:rStyle w:val="a3"/>
            <w:sz w:val="28"/>
            <w:szCs w:val="28"/>
            <w:lang w:val="ru-RU"/>
          </w:rPr>
          <w:t>-</w:t>
        </w:r>
        <w:r w:rsidRPr="00194B46">
          <w:rPr>
            <w:rStyle w:val="a3"/>
            <w:sz w:val="28"/>
            <w:szCs w:val="28"/>
          </w:rPr>
          <w:t>tenders</w:t>
        </w:r>
        <w:r w:rsidRPr="00194B46">
          <w:rPr>
            <w:rStyle w:val="a3"/>
            <w:sz w:val="28"/>
            <w:szCs w:val="28"/>
            <w:lang w:val="ru-RU"/>
          </w:rPr>
          <w:t>/</w:t>
        </w:r>
        <w:r w:rsidRPr="00194B46">
          <w:rPr>
            <w:rStyle w:val="a3"/>
            <w:sz w:val="28"/>
            <w:szCs w:val="28"/>
          </w:rPr>
          <w:t>opportunities</w:t>
        </w:r>
        <w:r w:rsidRPr="00194B46">
          <w:rPr>
            <w:rStyle w:val="a3"/>
            <w:sz w:val="28"/>
            <w:szCs w:val="28"/>
            <w:lang w:val="ru-RU"/>
          </w:rPr>
          <w:t>/</w:t>
        </w:r>
        <w:r w:rsidRPr="00194B46">
          <w:rPr>
            <w:rStyle w:val="a3"/>
            <w:sz w:val="28"/>
            <w:szCs w:val="28"/>
          </w:rPr>
          <w:t>docs</w:t>
        </w:r>
        <w:r w:rsidRPr="00194B46">
          <w:rPr>
            <w:rStyle w:val="a3"/>
            <w:sz w:val="28"/>
            <w:szCs w:val="28"/>
            <w:lang w:val="ru-RU"/>
          </w:rPr>
          <w:t>/2021-2027/</w:t>
        </w:r>
        <w:r w:rsidRPr="00194B46">
          <w:rPr>
            <w:rStyle w:val="a3"/>
            <w:sz w:val="28"/>
            <w:szCs w:val="28"/>
          </w:rPr>
          <w:t>common</w:t>
        </w:r>
        <w:r w:rsidRPr="00194B46">
          <w:rPr>
            <w:rStyle w:val="a3"/>
            <w:sz w:val="28"/>
            <w:szCs w:val="28"/>
            <w:lang w:val="ru-RU"/>
          </w:rPr>
          <w:t>/</w:t>
        </w:r>
        <w:r w:rsidRPr="00194B46">
          <w:rPr>
            <w:rStyle w:val="a3"/>
            <w:sz w:val="28"/>
            <w:szCs w:val="28"/>
          </w:rPr>
          <w:t>guidance</w:t>
        </w:r>
        <w:r w:rsidRPr="00194B46">
          <w:rPr>
            <w:rStyle w:val="a3"/>
            <w:sz w:val="28"/>
            <w:szCs w:val="28"/>
            <w:lang w:val="ru-RU"/>
          </w:rPr>
          <w:t>/</w:t>
        </w:r>
        <w:r w:rsidRPr="00194B46">
          <w:rPr>
            <w:rStyle w:val="a3"/>
            <w:sz w:val="28"/>
            <w:szCs w:val="28"/>
          </w:rPr>
          <w:t>aga</w:t>
        </w:r>
        <w:r w:rsidRPr="00194B46">
          <w:rPr>
            <w:rStyle w:val="a3"/>
            <w:sz w:val="28"/>
            <w:szCs w:val="28"/>
            <w:lang w:val="ru-RU"/>
          </w:rPr>
          <w:t>_</w:t>
        </w:r>
        <w:r w:rsidRPr="00194B46">
          <w:rPr>
            <w:rStyle w:val="a3"/>
            <w:sz w:val="28"/>
            <w:szCs w:val="28"/>
          </w:rPr>
          <w:t>en</w:t>
        </w:r>
        <w:r w:rsidRPr="00194B46">
          <w:rPr>
            <w:rStyle w:val="a3"/>
            <w:sz w:val="28"/>
            <w:szCs w:val="28"/>
            <w:lang w:val="ru-RU"/>
          </w:rPr>
          <w:t>.</w:t>
        </w:r>
        <w:r w:rsidRPr="00194B46">
          <w:rPr>
            <w:rStyle w:val="a3"/>
            <w:sz w:val="28"/>
            <w:szCs w:val="28"/>
          </w:rPr>
          <w:t>pdf</w:t>
        </w:r>
      </w:hyperlink>
      <w:r w:rsidRPr="00194B46">
        <w:rPr>
          <w:sz w:val="28"/>
          <w:szCs w:val="28"/>
          <w:lang w:val="ru-RU"/>
        </w:rPr>
        <w:t xml:space="preserve"> та </w:t>
      </w:r>
      <w:r w:rsidRPr="00194B46">
        <w:rPr>
          <w:rStyle w:val="a3"/>
          <w:color w:val="auto"/>
          <w:sz w:val="28"/>
          <w:szCs w:val="28"/>
          <w:u w:val="none"/>
          <w:lang w:val="ru-RU"/>
        </w:rPr>
        <w:t>Угода консорціуму в РП «Горизонт Європа</w:t>
      </w:r>
      <w:r w:rsidRPr="00642C2D">
        <w:rPr>
          <w:rStyle w:val="a3"/>
          <w:color w:val="auto"/>
          <w:sz w:val="28"/>
          <w:szCs w:val="28"/>
          <w:u w:val="none"/>
          <w:lang w:val="ru-RU"/>
        </w:rPr>
        <w:t xml:space="preserve">». </w:t>
      </w:r>
      <w:r w:rsidRPr="00642C2D">
        <w:rPr>
          <w:rStyle w:val="a3"/>
          <w:color w:val="auto"/>
          <w:sz w:val="28"/>
          <w:szCs w:val="28"/>
          <w:u w:val="none"/>
        </w:rPr>
        <w:t xml:space="preserve">URL:  </w:t>
      </w:r>
      <w:r w:rsidRPr="00194B46">
        <w:rPr>
          <w:rStyle w:val="a3"/>
          <w:sz w:val="28"/>
          <w:szCs w:val="28"/>
        </w:rPr>
        <w:t>https://www.ffg.at/en/europe/heu/legal-financial/consortium-agreement</w:t>
      </w:r>
      <w:r>
        <w:rPr>
          <w:sz w:val="28"/>
          <w:szCs w:val="28"/>
        </w:rPr>
        <w:t>)</w:t>
      </w:r>
      <w:r w:rsidRPr="00FF179A">
        <w:rPr>
          <w:sz w:val="28"/>
          <w:szCs w:val="28"/>
        </w:rPr>
        <w:t>, у проєктах необхідно втілити такі принципи:</w:t>
      </w:r>
    </w:p>
    <w:p w14:paraId="521889F8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• організації</w:t>
      </w:r>
      <w:r>
        <w:rPr>
          <w:sz w:val="28"/>
          <w:szCs w:val="28"/>
        </w:rPr>
        <w:t>-</w:t>
      </w:r>
      <w:r w:rsidRPr="00FF179A">
        <w:rPr>
          <w:sz w:val="28"/>
          <w:szCs w:val="28"/>
        </w:rPr>
        <w:t>виконавці проєктів (або автори, у відповідних випадках) мають зберігати права інтелектуальної власності на публікації та дані і мати можливість надавати невиключні ліцензії видавцям;</w:t>
      </w:r>
    </w:p>
    <w:p w14:paraId="1271C3D7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• інформацію про результати дослідження або необхідну для підтвердження висновків наукової публікації можна розміщувати у репозитарії та вносити дані, програмне забезпечення, алгоритми, протоколи, моделі, робочі процеси, електронні блокноти тощо. Рекомендується надати ВД до цих результатів, якщо це не суперечить чиїмсь законним інтересам чи обмеженням;</w:t>
      </w:r>
    </w:p>
    <w:p w14:paraId="3172D34B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• метадані мають відповідати принципам </w:t>
      </w:r>
      <w:r w:rsidRPr="00FF179A">
        <w:rPr>
          <w:i/>
          <w:iCs/>
          <w:sz w:val="28"/>
          <w:szCs w:val="28"/>
        </w:rPr>
        <w:t>FAIR</w:t>
      </w:r>
      <w:r w:rsidRPr="00FF179A">
        <w:rPr>
          <w:sz w:val="28"/>
          <w:szCs w:val="28"/>
        </w:rPr>
        <w:t>, читатися машиною, їх рекомендовано розміщувати за ліцензією</w:t>
      </w:r>
      <w:r w:rsidRPr="00FF179A">
        <w:rPr>
          <w:i/>
          <w:iCs/>
          <w:sz w:val="28"/>
          <w:szCs w:val="28"/>
        </w:rPr>
        <w:t xml:space="preserve"> Creative Commons</w:t>
      </w:r>
      <w:r w:rsidRPr="00FF179A">
        <w:rPr>
          <w:sz w:val="28"/>
          <w:szCs w:val="28"/>
        </w:rPr>
        <w:t xml:space="preserve"> (</w:t>
      </w:r>
      <w:r w:rsidRPr="00FF179A">
        <w:rPr>
          <w:i/>
          <w:iCs/>
          <w:sz w:val="28"/>
          <w:szCs w:val="28"/>
        </w:rPr>
        <w:t>CC</w:t>
      </w:r>
      <w:r w:rsidRPr="004C7A79">
        <w:rPr>
          <w:i/>
          <w:iCs/>
          <w:sz w:val="28"/>
          <w:szCs w:val="28"/>
        </w:rPr>
        <w:t>0</w:t>
      </w:r>
      <w:r w:rsidRPr="00FF179A">
        <w:rPr>
          <w:sz w:val="28"/>
          <w:szCs w:val="28"/>
        </w:rPr>
        <w:t>) або еквівалентною, що забезпечує можливість повторного використання;</w:t>
      </w:r>
    </w:p>
    <w:p w14:paraId="1D20A2F7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• витрати на публікацію у виданнях з повним ВД (журнали повністю з ВД, онлайнові платформи), як правило, підлягають відшкодуванню. </w:t>
      </w:r>
      <w:r w:rsidRPr="00FF179A">
        <w:rPr>
          <w:i/>
          <w:iCs/>
          <w:sz w:val="28"/>
          <w:szCs w:val="28"/>
        </w:rPr>
        <w:t>Витрати на публікації в гібридних журналах або журналах за передплатою не підлягають відшкодуванню з гранту РП ЄС</w:t>
      </w:r>
      <w:r w:rsidRPr="00FF179A">
        <w:rPr>
          <w:sz w:val="28"/>
          <w:szCs w:val="28"/>
        </w:rPr>
        <w:t xml:space="preserve">. Водночас «дзеркальні» або «дочірні» журнали журналів за передплатою вважаються журналами з повним ВД; витрати на публікацію в таких журналах може бути відшкодовано. Також плата за публікацію книг, які не є повністю відкритими (або за розділи в таких книгах), </w:t>
      </w:r>
      <w:r w:rsidRPr="00FF179A">
        <w:rPr>
          <w:sz w:val="28"/>
          <w:szCs w:val="28"/>
        </w:rPr>
        <w:lastRenderedPageBreak/>
        <w:t>не підлягає відшкодуванню за грантом РП ЄС. Витрати на публікацію книги у ВД є прийнятними, якщо вони покривають витрати на перше ци</w:t>
      </w:r>
      <w:r>
        <w:rPr>
          <w:sz w:val="28"/>
          <w:szCs w:val="28"/>
        </w:rPr>
        <w:t>фрове видання у ВД. Г</w:t>
      </w:r>
      <w:r w:rsidRPr="00FF179A">
        <w:rPr>
          <w:sz w:val="28"/>
          <w:szCs w:val="28"/>
        </w:rPr>
        <w:t>рант не покрива</w:t>
      </w:r>
      <w:r>
        <w:rPr>
          <w:sz w:val="28"/>
          <w:szCs w:val="28"/>
        </w:rPr>
        <w:t>є</w:t>
      </w:r>
      <w:r w:rsidRPr="00FF179A">
        <w:rPr>
          <w:sz w:val="28"/>
          <w:szCs w:val="28"/>
        </w:rPr>
        <w:t xml:space="preserve"> друк монографій та інших книжкових видань;</w:t>
      </w:r>
    </w:p>
    <w:p w14:paraId="0818927C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• хоча загалом вченим за РП ЄС надано максимальну свободу вибору платформи та інструментів, а також можливість обрати публікацію у ВД або патентування розробок, перспективних для комерціалізації, якщо команда проєкту не передбачає надання ВД до результатів проєкту РП, цьому слід надати обґрунтування.</w:t>
      </w:r>
    </w:p>
    <w:p w14:paraId="31B84DBA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b/>
          <w:bCs/>
          <w:sz w:val="28"/>
          <w:szCs w:val="28"/>
        </w:rPr>
      </w:pPr>
      <w:r w:rsidRPr="00FF179A">
        <w:rPr>
          <w:b/>
          <w:bCs/>
          <w:sz w:val="28"/>
          <w:szCs w:val="28"/>
        </w:rPr>
        <w:t>Врегулювання відкритого доступу в Модельній грантовій угоді «Горизонт Європа» та Угоді консорціуму (</w:t>
      </w:r>
      <w:r w:rsidRPr="00FF179A">
        <w:rPr>
          <w:sz w:val="28"/>
          <w:szCs w:val="28"/>
        </w:rPr>
        <w:t>положення останньої не мають суперечити Грантовій угоді).</w:t>
      </w:r>
      <w:r w:rsidRPr="00FF179A">
        <w:rPr>
          <w:b/>
          <w:bCs/>
          <w:sz w:val="28"/>
          <w:szCs w:val="28"/>
        </w:rPr>
        <w:t xml:space="preserve"> </w:t>
      </w:r>
      <w:r w:rsidRPr="00FF179A">
        <w:rPr>
          <w:sz w:val="28"/>
          <w:szCs w:val="28"/>
        </w:rPr>
        <w:t>Положення щодо відкритого доступу та прав ІВ викладено у ст. 16 Модельної угоди та у Додатку 5 «Права ІВ», який містить пояснення до статей 15, 16 та 17. Так, у Додатку 5 надається визначення ВД як «онлайн доступ до результатів наукових досліджень, який надається кінцевому споживачу на безоплатній основі» (до ст. 16). Також надано інформацію за напрямом «Відкрита наука» за трьома розділами: ВД до наукових публікацій, ВД до наукових даних та додаткові практики (випадки додаткових вимог в умовах конкурсів) (до ст. 17 «Комунікація, поширення результатів, відкрита наука та видимість результатів»). Надаються детальні пояснення щодо ВД: необхідно поширювати результати проєкту у форматі, доступному для оприлюднення. Виконавець проєкту, який передбачає поширювати свої результати, не пізніше, ніж за 15 днів</w:t>
      </w:r>
      <w:r>
        <w:rPr>
          <w:sz w:val="28"/>
          <w:szCs w:val="28"/>
        </w:rPr>
        <w:t>,</w:t>
      </w:r>
      <w:r w:rsidRPr="00FF179A">
        <w:rPr>
          <w:sz w:val="28"/>
          <w:szCs w:val="28"/>
        </w:rPr>
        <w:t xml:space="preserve"> має попередити про це інших учасників. Інші учасники можуть упродовж 15 днів після отримання повідомлення надати обґрунтовані заперечення щодо такого оприлюднення, зазначивши, що це порушує їхні законні інтереси. У такому разі оприлюднення не відбувається або відбувається після взаємної згоди у вирішенні проблемного питання.</w:t>
      </w:r>
    </w:p>
    <w:p w14:paraId="068AB8A2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b/>
          <w:bCs/>
          <w:sz w:val="28"/>
          <w:szCs w:val="28"/>
        </w:rPr>
      </w:pPr>
      <w:r w:rsidRPr="00FF179A">
        <w:rPr>
          <w:i/>
          <w:iCs/>
          <w:sz w:val="28"/>
          <w:szCs w:val="28"/>
        </w:rPr>
        <w:t>У розділі Додатк</w:t>
      </w:r>
      <w:r>
        <w:rPr>
          <w:i/>
          <w:iCs/>
          <w:sz w:val="28"/>
          <w:szCs w:val="28"/>
        </w:rPr>
        <w:t>у</w:t>
      </w:r>
      <w:r w:rsidRPr="00FF179A">
        <w:rPr>
          <w:i/>
          <w:iCs/>
          <w:sz w:val="28"/>
          <w:szCs w:val="28"/>
        </w:rPr>
        <w:t xml:space="preserve"> 5 «Відкритий доступ до наукових публікацій» </w:t>
      </w:r>
      <w:r w:rsidRPr="00FF179A">
        <w:rPr>
          <w:sz w:val="28"/>
          <w:szCs w:val="28"/>
        </w:rPr>
        <w:t>зазначається, що бенефіціари мають забезпечити ВД до рецензованих наукових публікацій, що стосуються їхніх результатів за проєктом. Зокрема:</w:t>
      </w:r>
    </w:p>
    <w:p w14:paraId="12D9CD16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• щонайпізніше на момент публікації машинозчитувана електронна копія опублікованої версії або остаточного рецензованого рукопису, прийнятого до </w:t>
      </w:r>
      <w:r w:rsidRPr="00FF179A">
        <w:rPr>
          <w:sz w:val="28"/>
          <w:szCs w:val="28"/>
        </w:rPr>
        <w:lastRenderedPageBreak/>
        <w:t xml:space="preserve">публікації, має бути розміщена для збереження в надійному сховищі наукових публікацій; </w:t>
      </w:r>
    </w:p>
    <w:p w14:paraId="489D7B3D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• слід надати негайний ВД до депонованої публікації через репозиторій із застосуванням останньої версії міжнародної публічної ліцензії </w:t>
      </w:r>
      <w:r w:rsidRPr="00FF179A">
        <w:rPr>
          <w:i/>
          <w:iCs/>
          <w:sz w:val="28"/>
          <w:szCs w:val="28"/>
        </w:rPr>
        <w:t>Creative Commons Attribution</w:t>
      </w:r>
      <w:r w:rsidRPr="00FF179A">
        <w:rPr>
          <w:sz w:val="28"/>
          <w:szCs w:val="28"/>
        </w:rPr>
        <w:t xml:space="preserve"> (</w:t>
      </w:r>
      <w:r w:rsidRPr="00FF179A">
        <w:rPr>
          <w:i/>
          <w:iCs/>
          <w:sz w:val="28"/>
          <w:szCs w:val="28"/>
        </w:rPr>
        <w:t>CC BY</w:t>
      </w:r>
      <w:r w:rsidRPr="00FF179A">
        <w:rPr>
          <w:sz w:val="28"/>
          <w:szCs w:val="28"/>
        </w:rPr>
        <w:t xml:space="preserve">) або ліцензії з еквівалентними правами; для монографій та інших значних текстових форматів ліцензія може не містити право на комерційне використання та створення похідних робіт (з використанням ліцензій </w:t>
      </w:r>
      <w:r w:rsidRPr="00FF179A">
        <w:rPr>
          <w:i/>
          <w:iCs/>
          <w:sz w:val="28"/>
          <w:szCs w:val="28"/>
        </w:rPr>
        <w:t>CC BY-NC, CC BY-ND</w:t>
      </w:r>
      <w:r w:rsidRPr="00FF179A">
        <w:rPr>
          <w:sz w:val="28"/>
          <w:szCs w:val="28"/>
        </w:rPr>
        <w:t xml:space="preserve"> тощо) і </w:t>
      </w:r>
    </w:p>
    <w:p w14:paraId="5C8DC07B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• через репозит</w:t>
      </w:r>
      <w:r>
        <w:rPr>
          <w:sz w:val="28"/>
          <w:szCs w:val="28"/>
        </w:rPr>
        <w:t>а</w:t>
      </w:r>
      <w:r w:rsidRPr="00FF179A">
        <w:rPr>
          <w:sz w:val="28"/>
          <w:szCs w:val="28"/>
        </w:rPr>
        <w:t>рій слід надати інформацію про будь-які результати дослідження або будь-які інші інструменти, необхідні для підтвердження висновків наукової публікації. Виконавці проєкту (або автори) мають зберігати права інтелектуальної власності, достатні для дотримання вимог ВД.</w:t>
      </w:r>
    </w:p>
    <w:p w14:paraId="451E090C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>Метадані депонованих публікацій мають бути відкриті під «нульовою» ліцензією суспільного надбання </w:t>
      </w:r>
      <w:r>
        <w:rPr>
          <w:sz w:val="28"/>
          <w:szCs w:val="28"/>
        </w:rPr>
        <w:t>–</w:t>
      </w:r>
      <w:r w:rsidRPr="00FF179A">
        <w:rPr>
          <w:sz w:val="28"/>
          <w:szCs w:val="28"/>
        </w:rPr>
        <w:t xml:space="preserve"> </w:t>
      </w:r>
      <w:r w:rsidRPr="00FF179A">
        <w:rPr>
          <w:i/>
          <w:iCs/>
          <w:sz w:val="28"/>
          <w:szCs w:val="28"/>
        </w:rPr>
        <w:t>Creative</w:t>
      </w:r>
      <w:r>
        <w:rPr>
          <w:i/>
          <w:iCs/>
          <w:sz w:val="28"/>
          <w:szCs w:val="28"/>
        </w:rPr>
        <w:t xml:space="preserve"> </w:t>
      </w:r>
      <w:r w:rsidRPr="00FF179A">
        <w:rPr>
          <w:i/>
          <w:iCs/>
          <w:sz w:val="28"/>
          <w:szCs w:val="28"/>
        </w:rPr>
        <w:t>Common Public Domain Dedication</w:t>
      </w:r>
      <w:r w:rsidRPr="00FF179A">
        <w:rPr>
          <w:sz w:val="28"/>
          <w:szCs w:val="28"/>
        </w:rPr>
        <w:t xml:space="preserve"> (</w:t>
      </w:r>
      <w:r w:rsidRPr="00FF179A">
        <w:rPr>
          <w:i/>
          <w:iCs/>
          <w:sz w:val="28"/>
          <w:szCs w:val="28"/>
        </w:rPr>
        <w:t>CC</w:t>
      </w:r>
      <w:r w:rsidRPr="00FF179A">
        <w:rPr>
          <w:sz w:val="28"/>
          <w:szCs w:val="28"/>
        </w:rPr>
        <w:t xml:space="preserve">0) або еквівалентною ліцензією відповідно до принципів </w:t>
      </w:r>
      <w:r w:rsidRPr="00FF179A">
        <w:rPr>
          <w:i/>
          <w:iCs/>
          <w:sz w:val="28"/>
          <w:szCs w:val="28"/>
        </w:rPr>
        <w:t>FAIR</w:t>
      </w:r>
      <w:r w:rsidRPr="00FF179A">
        <w:rPr>
          <w:sz w:val="28"/>
          <w:szCs w:val="28"/>
        </w:rPr>
        <w:t xml:space="preserve"> (зокрема, мають бути доступними для зчитування машинним способом) і містити таку інформацію: публікація (автор(и), назва, дата видання, місце видання); зазначення, що фінансування відбувається через РП «Горизонт Європа» або РП Євратом; назва проєкту гранту, абревіатура та номер; умови ліцензування; постійні ідентифікатори для публікації, автори, залучені до проєкту та, якщо можливо, визначення їх організацій та самого гранту. У відповідних випадках метадані мають містити постійні ідентифікатори будь-яких результатів дослідження або будь-які інші інструменти, необхідні для підтвердження висновків публікації. </w:t>
      </w:r>
    </w:p>
    <w:p w14:paraId="2C4DED73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sz w:val="28"/>
          <w:szCs w:val="28"/>
        </w:rPr>
        <w:t xml:space="preserve">Відшкодуванню підлягають лише збори за публікації у виданнях повного ВД для рецензованих наукових публікацій. </w:t>
      </w:r>
    </w:p>
    <w:p w14:paraId="449B1152" w14:textId="77777777" w:rsidR="00FE7F2D" w:rsidRPr="00FF179A" w:rsidRDefault="00FE7F2D" w:rsidP="00FE7F2D">
      <w:pPr>
        <w:adjustRightInd w:val="0"/>
        <w:spacing w:after="0" w:line="360" w:lineRule="auto"/>
        <w:ind w:firstLine="510"/>
        <w:jc w:val="both"/>
        <w:textAlignment w:val="center"/>
        <w:rPr>
          <w:sz w:val="28"/>
          <w:szCs w:val="28"/>
        </w:rPr>
      </w:pPr>
      <w:r w:rsidRPr="00FF179A">
        <w:rPr>
          <w:i/>
          <w:iCs/>
          <w:sz w:val="28"/>
          <w:szCs w:val="28"/>
        </w:rPr>
        <w:t>У розділі «Додаткові практики»</w:t>
      </w:r>
      <w:r w:rsidRPr="00FF179A">
        <w:rPr>
          <w:sz w:val="28"/>
          <w:szCs w:val="28"/>
        </w:rPr>
        <w:t xml:space="preserve"> визначається, що якщо умови конкурсу накладають додаткові зобов’язання щодо відкритої науки у разі надзвичайної ситуації, виконавці повинні (на вимогу органу, що надає гранти) негайно депонувати будь-які результати досліджень у сховищі і надати ВД до них згідно з ліцензіями </w:t>
      </w:r>
      <w:r w:rsidRPr="00FF179A">
        <w:rPr>
          <w:i/>
          <w:iCs/>
          <w:sz w:val="28"/>
          <w:szCs w:val="28"/>
        </w:rPr>
        <w:t>CC-BY</w:t>
      </w:r>
      <w:r w:rsidRPr="00FF179A">
        <w:rPr>
          <w:sz w:val="28"/>
          <w:szCs w:val="28"/>
        </w:rPr>
        <w:t xml:space="preserve">, </w:t>
      </w:r>
      <w:r w:rsidRPr="00FF179A">
        <w:rPr>
          <w:i/>
          <w:iCs/>
          <w:sz w:val="28"/>
          <w:szCs w:val="28"/>
        </w:rPr>
        <w:t>CC</w:t>
      </w:r>
      <w:r w:rsidRPr="00FF179A">
        <w:rPr>
          <w:sz w:val="28"/>
          <w:szCs w:val="28"/>
        </w:rPr>
        <w:t xml:space="preserve">0 або еквівалентної. </w:t>
      </w:r>
    </w:p>
    <w:p w14:paraId="0BF447A4" w14:textId="77777777" w:rsidR="00FE7F2D" w:rsidRDefault="00FE7F2D" w:rsidP="00FE7F2D">
      <w:pPr>
        <w:rPr>
          <w:sz w:val="28"/>
          <w:szCs w:val="28"/>
        </w:rPr>
      </w:pPr>
    </w:p>
    <w:p w14:paraId="356D11AE" w14:textId="77777777" w:rsidR="00FE7F2D" w:rsidRPr="00727EF7" w:rsidRDefault="00FE7F2D" w:rsidP="00FE7F2D">
      <w:pPr>
        <w:spacing w:after="0" w:line="240" w:lineRule="auto"/>
        <w:rPr>
          <w:sz w:val="28"/>
          <w:szCs w:val="28"/>
        </w:rPr>
      </w:pPr>
      <w:r w:rsidRPr="00727EF7">
        <w:rPr>
          <w:b/>
          <w:bCs/>
          <w:sz w:val="28"/>
          <w:szCs w:val="28"/>
        </w:rPr>
        <w:t>Karyna Shakhbazian</w:t>
      </w:r>
      <w:r w:rsidRPr="00727EF7">
        <w:rPr>
          <w:sz w:val="28"/>
          <w:szCs w:val="28"/>
        </w:rPr>
        <w:t xml:space="preserve">, </w:t>
      </w:r>
    </w:p>
    <w:p w14:paraId="344C1568" w14:textId="77777777" w:rsidR="00FE7F2D" w:rsidRPr="00727EF7" w:rsidRDefault="00FE7F2D" w:rsidP="00FE7F2D">
      <w:pPr>
        <w:spacing w:after="0" w:line="240" w:lineRule="auto"/>
        <w:rPr>
          <w:sz w:val="28"/>
          <w:szCs w:val="28"/>
        </w:rPr>
      </w:pPr>
      <w:r w:rsidRPr="00727EF7">
        <w:rPr>
          <w:sz w:val="28"/>
          <w:szCs w:val="28"/>
        </w:rPr>
        <w:t xml:space="preserve">ORCID </w:t>
      </w:r>
      <w:hyperlink r:id="rId9" w:history="1">
        <w:r w:rsidRPr="00727EF7">
          <w:rPr>
            <w:rStyle w:val="a3"/>
            <w:sz w:val="28"/>
            <w:szCs w:val="28"/>
          </w:rPr>
          <w:t>https://orcid.org/0000-0002-2205-374X</w:t>
        </w:r>
      </w:hyperlink>
      <w:r w:rsidRPr="00727EF7">
        <w:rPr>
          <w:sz w:val="28"/>
          <w:szCs w:val="28"/>
        </w:rPr>
        <w:t xml:space="preserve">, </w:t>
      </w:r>
    </w:p>
    <w:p w14:paraId="65DDFE69" w14:textId="77777777" w:rsidR="00FE7F2D" w:rsidRPr="00727EF7" w:rsidRDefault="00FE7F2D" w:rsidP="00FE7F2D">
      <w:pPr>
        <w:spacing w:after="0" w:line="240" w:lineRule="auto"/>
        <w:rPr>
          <w:sz w:val="28"/>
          <w:szCs w:val="28"/>
        </w:rPr>
      </w:pPr>
      <w:r w:rsidRPr="00727EF7">
        <w:rPr>
          <w:sz w:val="28"/>
          <w:szCs w:val="28"/>
        </w:rPr>
        <w:t>PhD in international law,</w:t>
      </w:r>
    </w:p>
    <w:p w14:paraId="1075F4DD" w14:textId="77777777" w:rsidR="00FE7F2D" w:rsidRPr="00727EF7" w:rsidRDefault="00FE7F2D" w:rsidP="00FE7F2D">
      <w:pPr>
        <w:spacing w:after="0" w:line="240" w:lineRule="auto"/>
        <w:rPr>
          <w:sz w:val="28"/>
          <w:szCs w:val="28"/>
        </w:rPr>
      </w:pPr>
      <w:r w:rsidRPr="00727EF7">
        <w:rPr>
          <w:sz w:val="28"/>
          <w:szCs w:val="28"/>
        </w:rPr>
        <w:t>Scientific Officer,</w:t>
      </w:r>
    </w:p>
    <w:p w14:paraId="183F7949" w14:textId="77777777" w:rsidR="00FE7F2D" w:rsidRPr="00727EF7" w:rsidRDefault="00FE7F2D" w:rsidP="00FE7F2D">
      <w:pPr>
        <w:spacing w:after="0" w:line="240" w:lineRule="auto"/>
        <w:rPr>
          <w:sz w:val="28"/>
          <w:szCs w:val="28"/>
          <w:lang w:val="en-GB"/>
        </w:rPr>
      </w:pPr>
      <w:r w:rsidRPr="00727EF7">
        <w:rPr>
          <w:sz w:val="28"/>
          <w:szCs w:val="28"/>
          <w:lang w:val="en-GB"/>
        </w:rPr>
        <w:t>Centre for Intellectual Property Studies and Technology Transfer, National Academy of Sciences of Ukraine</w:t>
      </w:r>
    </w:p>
    <w:p w14:paraId="561CA56F" w14:textId="77777777" w:rsidR="00FE7F2D" w:rsidRPr="00727EF7" w:rsidRDefault="00FE7F2D" w:rsidP="00FE7F2D">
      <w:pPr>
        <w:spacing w:after="0" w:line="240" w:lineRule="auto"/>
        <w:rPr>
          <w:sz w:val="28"/>
          <w:szCs w:val="28"/>
        </w:rPr>
      </w:pPr>
      <w:r w:rsidRPr="00727EF7">
        <w:rPr>
          <w:sz w:val="28"/>
          <w:szCs w:val="28"/>
          <w:lang w:val="en-GB"/>
        </w:rPr>
        <w:t>Kyiv</w:t>
      </w:r>
      <w:r w:rsidRPr="00727EF7">
        <w:rPr>
          <w:sz w:val="28"/>
          <w:szCs w:val="28"/>
        </w:rPr>
        <w:t xml:space="preserve">, </w:t>
      </w:r>
      <w:r w:rsidRPr="00727EF7">
        <w:rPr>
          <w:sz w:val="28"/>
          <w:szCs w:val="28"/>
          <w:lang w:val="en-GB"/>
        </w:rPr>
        <w:t>Ukraine</w:t>
      </w:r>
    </w:p>
    <w:p w14:paraId="24036AD8" w14:textId="77777777" w:rsidR="00FE7F2D" w:rsidRPr="00727EF7" w:rsidRDefault="00FE7F2D" w:rsidP="00FE7F2D">
      <w:pPr>
        <w:spacing w:after="0" w:line="240" w:lineRule="auto"/>
        <w:rPr>
          <w:sz w:val="28"/>
          <w:szCs w:val="28"/>
        </w:rPr>
      </w:pPr>
      <w:r w:rsidRPr="00727EF7">
        <w:rPr>
          <w:sz w:val="28"/>
          <w:szCs w:val="28"/>
        </w:rPr>
        <w:t xml:space="preserve">e-mail: </w:t>
      </w:r>
      <w:hyperlink r:id="rId10" w:history="1">
        <w:r w:rsidRPr="00727EF7">
          <w:rPr>
            <w:rStyle w:val="a3"/>
            <w:sz w:val="28"/>
            <w:szCs w:val="28"/>
            <w:lang w:val="en-GB"/>
          </w:rPr>
          <w:t>karina</w:t>
        </w:r>
        <w:r w:rsidRPr="00727EF7">
          <w:rPr>
            <w:rStyle w:val="a3"/>
            <w:sz w:val="28"/>
            <w:szCs w:val="28"/>
          </w:rPr>
          <w:t>@nas.gov.ua</w:t>
        </w:r>
      </w:hyperlink>
      <w:r w:rsidRPr="00727EF7">
        <w:rPr>
          <w:sz w:val="28"/>
          <w:szCs w:val="28"/>
        </w:rPr>
        <w:t xml:space="preserve">  </w:t>
      </w:r>
    </w:p>
    <w:p w14:paraId="322699F1" w14:textId="77777777" w:rsidR="00FE7F2D" w:rsidRDefault="00FE7F2D" w:rsidP="00FE7F2D">
      <w:pPr>
        <w:spacing w:line="360" w:lineRule="auto"/>
        <w:rPr>
          <w:rStyle w:val="rynqvb"/>
          <w:b/>
          <w:lang w:val="en"/>
        </w:rPr>
      </w:pPr>
    </w:p>
    <w:p w14:paraId="0DEC723E" w14:textId="77777777" w:rsidR="00FE7F2D" w:rsidRPr="00727EF7" w:rsidRDefault="00FE7F2D" w:rsidP="00FE7F2D">
      <w:pPr>
        <w:spacing w:after="0" w:line="240" w:lineRule="auto"/>
        <w:jc w:val="center"/>
        <w:rPr>
          <w:rStyle w:val="rynqvb"/>
          <w:b/>
          <w:sz w:val="28"/>
          <w:szCs w:val="28"/>
          <w:lang w:val="en"/>
        </w:rPr>
      </w:pPr>
      <w:r w:rsidRPr="00727EF7">
        <w:rPr>
          <w:rStyle w:val="rynqvb"/>
          <w:b/>
          <w:sz w:val="28"/>
          <w:szCs w:val="28"/>
          <w:lang w:val="en"/>
        </w:rPr>
        <w:t>Open Access Policy in the EU Framework Programmes</w:t>
      </w:r>
    </w:p>
    <w:p w14:paraId="42E77723" w14:textId="77777777" w:rsidR="00FE7F2D" w:rsidRPr="00727EF7" w:rsidRDefault="00FE7F2D" w:rsidP="00FE7F2D">
      <w:pPr>
        <w:spacing w:after="0" w:line="240" w:lineRule="auto"/>
        <w:jc w:val="center"/>
        <w:rPr>
          <w:rStyle w:val="rynqvb"/>
          <w:b/>
          <w:sz w:val="28"/>
          <w:szCs w:val="28"/>
          <w:lang w:val="en"/>
        </w:rPr>
      </w:pPr>
      <w:r w:rsidRPr="00727EF7">
        <w:rPr>
          <w:rStyle w:val="rynqvb"/>
          <w:b/>
          <w:sz w:val="28"/>
          <w:szCs w:val="28"/>
          <w:lang w:val="en"/>
        </w:rPr>
        <w:t>for Research and Innovation</w:t>
      </w:r>
    </w:p>
    <w:p w14:paraId="44D23F8C" w14:textId="77777777" w:rsidR="00FE7F2D" w:rsidRPr="00727EF7" w:rsidRDefault="00FE7F2D" w:rsidP="00FE7F2D">
      <w:pPr>
        <w:spacing w:after="0" w:line="240" w:lineRule="auto"/>
        <w:jc w:val="both"/>
        <w:rPr>
          <w:rStyle w:val="rynqvb"/>
          <w:sz w:val="28"/>
          <w:szCs w:val="28"/>
          <w:lang w:val="en"/>
        </w:rPr>
      </w:pPr>
    </w:p>
    <w:p w14:paraId="50DCC2C9" w14:textId="77777777" w:rsidR="00FE7F2D" w:rsidRPr="00727EF7" w:rsidRDefault="00FE7F2D" w:rsidP="00FE7F2D">
      <w:pPr>
        <w:spacing w:after="0" w:line="240" w:lineRule="auto"/>
        <w:jc w:val="both"/>
        <w:rPr>
          <w:rStyle w:val="rynqvb"/>
          <w:sz w:val="28"/>
          <w:szCs w:val="28"/>
          <w:lang w:val="en"/>
        </w:rPr>
      </w:pPr>
      <w:r w:rsidRPr="00727EF7">
        <w:rPr>
          <w:rStyle w:val="rynqvb"/>
          <w:sz w:val="28"/>
          <w:szCs w:val="28"/>
          <w:lang w:val="en"/>
        </w:rPr>
        <w:t>The issues of regulating of open science in the EU are considered, in particular, when conducting joint international researches and developments in projects of the “Horizon EUROPE” Framework Programme.</w:t>
      </w:r>
      <w:r w:rsidRPr="00727EF7">
        <w:rPr>
          <w:rStyle w:val="hwtze"/>
          <w:sz w:val="28"/>
          <w:szCs w:val="28"/>
          <w:lang w:val="en"/>
        </w:rPr>
        <w:t xml:space="preserve"> </w:t>
      </w:r>
      <w:r w:rsidRPr="00727EF7">
        <w:rPr>
          <w:rStyle w:val="rynqvb"/>
          <w:sz w:val="28"/>
          <w:szCs w:val="28"/>
          <w:lang w:val="en"/>
        </w:rPr>
        <w:t xml:space="preserve">The issues of Open Science are identified, to be enshrined in the Model Grant Agreement and the Consortium Agreement (used for Horizon EUROPE projects): dissemination of results, access to them, rules for publications and open access conditions. </w:t>
      </w:r>
    </w:p>
    <w:p w14:paraId="40298C8F" w14:textId="77777777" w:rsidR="00FE7F2D" w:rsidRPr="00727EF7" w:rsidRDefault="00FE7F2D" w:rsidP="00FE7F2D">
      <w:pPr>
        <w:spacing w:after="0" w:line="240" w:lineRule="auto"/>
        <w:jc w:val="both"/>
        <w:rPr>
          <w:sz w:val="28"/>
          <w:szCs w:val="28"/>
        </w:rPr>
      </w:pPr>
      <w:r w:rsidRPr="00727EF7">
        <w:rPr>
          <w:rStyle w:val="rynqvb"/>
          <w:i/>
          <w:iCs/>
          <w:sz w:val="28"/>
          <w:szCs w:val="28"/>
          <w:lang w:val="en"/>
        </w:rPr>
        <w:t>Keywords</w:t>
      </w:r>
      <w:r w:rsidRPr="00727EF7">
        <w:rPr>
          <w:rStyle w:val="rynqvb"/>
          <w:sz w:val="28"/>
          <w:szCs w:val="28"/>
          <w:lang w:val="en"/>
        </w:rPr>
        <w:t>: open science in the EU, open access, research data, scientific publications, open access licenses.</w:t>
      </w:r>
    </w:p>
    <w:p w14:paraId="1502273D" w14:textId="77777777" w:rsidR="00FE7F2D" w:rsidRPr="00727EF7" w:rsidRDefault="00FE7F2D" w:rsidP="00FE7F2D">
      <w:pPr>
        <w:spacing w:after="0"/>
        <w:jc w:val="both"/>
        <w:rPr>
          <w:b/>
          <w:bCs/>
          <w:sz w:val="28"/>
          <w:szCs w:val="28"/>
        </w:rPr>
      </w:pPr>
    </w:p>
    <w:p w14:paraId="1D8D5A98" w14:textId="77777777" w:rsidR="00E77AC4" w:rsidRDefault="00E77AC4">
      <w:bookmarkStart w:id="0" w:name="_GoBack"/>
      <w:bookmarkEnd w:id="0"/>
    </w:p>
    <w:sectPr w:rsidR="00E77A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19"/>
    <w:rsid w:val="00884A5A"/>
    <w:rsid w:val="00D87519"/>
    <w:rsid w:val="00E77AC4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2A2E3-0729-4780-B288-AC0DCB69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F2D"/>
    <w:rPr>
      <w:color w:val="0563C1" w:themeColor="hyperlink"/>
      <w:u w:val="single"/>
    </w:rPr>
  </w:style>
  <w:style w:type="character" w:customStyle="1" w:styleId="hwtze">
    <w:name w:val="hwtze"/>
    <w:basedOn w:val="a0"/>
    <w:rsid w:val="00FE7F2D"/>
  </w:style>
  <w:style w:type="character" w:customStyle="1" w:styleId="rynqvb">
    <w:name w:val="rynqvb"/>
    <w:basedOn w:val="a0"/>
    <w:rsid w:val="00FE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docs/2021-2027/common/guidance/aga_e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ua.eu/publications/positions/the-eua-open-science-agenda-202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research/participants/data/ref/h2020/grants_manual/hi/oa_pilot/h2020-hi-oa-pilot-guide_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rina@nas.gov.ua" TargetMode="External"/><Relationship Id="rId10" Type="http://schemas.openxmlformats.org/officeDocument/2006/relationships/hyperlink" Target="mailto:karina@nas.gov.ua" TargetMode="External"/><Relationship Id="rId4" Type="http://schemas.openxmlformats.org/officeDocument/2006/relationships/hyperlink" Target="https://orcid.org/0000-0002-2205-374X" TargetMode="External"/><Relationship Id="rId9" Type="http://schemas.openxmlformats.org/officeDocument/2006/relationships/hyperlink" Target="https://orcid.org/0000-0002-2205-374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7649</Words>
  <Characters>4361</Characters>
  <Application>Microsoft Office Word</Application>
  <DocSecurity>0</DocSecurity>
  <Lines>36</Lines>
  <Paragraphs>23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2025-08-27T19:05:00Z</dcterms:created>
  <dcterms:modified xsi:type="dcterms:W3CDTF">2025-08-27T19:06:00Z</dcterms:modified>
</cp:coreProperties>
</file>