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B6" w:rsidRDefault="003645B6" w:rsidP="003645B6">
      <w:pPr>
        <w:spacing w:after="0" w:line="240" w:lineRule="auto"/>
      </w:pPr>
      <w:r>
        <w:rPr>
          <w:rFonts w:eastAsia="Times New Roman"/>
          <w:b/>
          <w:sz w:val="28"/>
          <w:szCs w:val="28"/>
          <w:lang w:val="ru-RU"/>
        </w:rPr>
        <w:t xml:space="preserve">ТатарчукЛюдмила </w:t>
      </w:r>
      <w:r>
        <w:rPr>
          <w:rFonts w:eastAsia="Times New Roman"/>
          <w:b/>
          <w:sz w:val="28"/>
          <w:szCs w:val="28"/>
        </w:rPr>
        <w:t>Михайлівна</w:t>
      </w:r>
      <w:r>
        <w:rPr>
          <w:rFonts w:eastAsia="Times New Roman"/>
          <w:b/>
          <w:sz w:val="28"/>
          <w:szCs w:val="28"/>
          <w:lang w:val="ru-RU"/>
        </w:rPr>
        <w:t xml:space="preserve">, </w:t>
      </w:r>
    </w:p>
    <w:p w:rsidR="003645B6" w:rsidRDefault="003645B6" w:rsidP="003645B6">
      <w:pPr>
        <w:widowControl w:val="0"/>
        <w:spacing w:after="0" w:line="240" w:lineRule="auto"/>
      </w:pPr>
      <w:proofErr w:type="spellStart"/>
      <w:r>
        <w:rPr>
          <w:rFonts w:eastAsia="Times New Roman"/>
          <w:bCs/>
          <w:iCs/>
          <w:sz w:val="28"/>
          <w:szCs w:val="28"/>
          <w:lang w:eastAsia="uk-UA"/>
        </w:rPr>
        <w:t>ORCID</w:t>
      </w:r>
      <w:hyperlink r:id="rId4">
        <w:r>
          <w:rPr>
            <w:rFonts w:eastAsia="Times New Roman"/>
            <w:color w:val="0000FF"/>
            <w:sz w:val="28"/>
            <w:szCs w:val="28"/>
            <w:u w:val="single"/>
            <w:lang w:eastAsia="uk-UA"/>
          </w:rPr>
          <w:t>https</w:t>
        </w:r>
        <w:proofErr w:type="spellEnd"/>
        <w:r>
          <w:rPr>
            <w:rFonts w:eastAsia="Times New Roman"/>
            <w:color w:val="0000FF"/>
            <w:sz w:val="28"/>
            <w:szCs w:val="28"/>
            <w:u w:val="single"/>
            <w:lang w:val="ru-RU" w:eastAsia="uk-UA"/>
          </w:rPr>
          <w:t>://</w:t>
        </w:r>
        <w:proofErr w:type="spellStart"/>
        <w:r>
          <w:rPr>
            <w:rFonts w:eastAsia="Times New Roman"/>
            <w:color w:val="0000FF"/>
            <w:sz w:val="28"/>
            <w:szCs w:val="28"/>
            <w:u w:val="single"/>
            <w:lang w:eastAsia="uk-UA"/>
          </w:rPr>
          <w:t>orcid</w:t>
        </w:r>
        <w:proofErr w:type="spellEnd"/>
        <w:r>
          <w:rPr>
            <w:rFonts w:eastAsia="Times New Roman"/>
            <w:color w:val="0000FF"/>
            <w:sz w:val="28"/>
            <w:szCs w:val="28"/>
            <w:u w:val="single"/>
            <w:lang w:val="ru-RU" w:eastAsia="uk-UA"/>
          </w:rPr>
          <w:t>.</w:t>
        </w:r>
        <w:proofErr w:type="spellStart"/>
        <w:r>
          <w:rPr>
            <w:rFonts w:eastAsia="Times New Roman"/>
            <w:color w:val="0000FF"/>
            <w:sz w:val="28"/>
            <w:szCs w:val="28"/>
            <w:u w:val="single"/>
            <w:lang w:eastAsia="uk-UA"/>
          </w:rPr>
          <w:t>org</w:t>
        </w:r>
        <w:proofErr w:type="spellEnd"/>
        <w:r>
          <w:rPr>
            <w:rFonts w:eastAsia="Times New Roman"/>
            <w:color w:val="0000FF"/>
            <w:sz w:val="28"/>
            <w:szCs w:val="28"/>
            <w:u w:val="single"/>
            <w:lang w:val="ru-RU" w:eastAsia="uk-UA"/>
          </w:rPr>
          <w:t>/0000-0003-4714-6958</w:t>
        </w:r>
      </w:hyperlink>
      <w:r>
        <w:rPr>
          <w:rFonts w:eastAsia="Times New Roman"/>
          <w:color w:val="0000FF"/>
          <w:sz w:val="28"/>
          <w:szCs w:val="28"/>
          <w:u w:val="single"/>
          <w:lang w:val="ru-RU" w:eastAsia="uk-UA"/>
        </w:rPr>
        <w:t>,</w:t>
      </w:r>
    </w:p>
    <w:p w:rsidR="003645B6" w:rsidRDefault="003645B6" w:rsidP="003645B6">
      <w:pPr>
        <w:widowControl w:val="0"/>
        <w:spacing w:after="0" w:line="240" w:lineRule="auto"/>
      </w:pPr>
      <w:r>
        <w:rPr>
          <w:rFonts w:eastAsiaTheme="minorEastAsia"/>
          <w:sz w:val="28"/>
          <w:szCs w:val="28"/>
          <w:lang w:val="ru-RU" w:eastAsia="ru-RU"/>
        </w:rPr>
        <w:t>кандидатка історичних наук,</w:t>
      </w:r>
    </w:p>
    <w:p w:rsidR="003645B6" w:rsidRDefault="003645B6" w:rsidP="003645B6">
      <w:pPr>
        <w:widowControl w:val="0"/>
        <w:spacing w:after="0" w:line="240" w:lineRule="auto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заступниця директора з наукової роботи, </w:t>
      </w:r>
    </w:p>
    <w:p w:rsidR="003645B6" w:rsidRDefault="003645B6" w:rsidP="003645B6">
      <w:pPr>
        <w:widowControl w:val="0"/>
        <w:spacing w:after="0" w:line="240" w:lineRule="auto"/>
      </w:pPr>
      <w:r>
        <w:rPr>
          <w:rFonts w:eastAsia="Times New Roman"/>
          <w:sz w:val="28"/>
          <w:szCs w:val="28"/>
          <w:lang w:val="ru-RU" w:eastAsia="ru-RU"/>
        </w:rPr>
        <w:t xml:space="preserve">Національна наукова сільськогосподарська бібліотека </w:t>
      </w:r>
    </w:p>
    <w:p w:rsidR="003645B6" w:rsidRDefault="003645B6" w:rsidP="003645B6">
      <w:pPr>
        <w:widowControl w:val="0"/>
        <w:spacing w:after="0" w:line="240" w:lineRule="auto"/>
      </w:pPr>
      <w:r>
        <w:rPr>
          <w:rFonts w:eastAsia="Times New Roman"/>
          <w:sz w:val="28"/>
          <w:szCs w:val="28"/>
          <w:lang w:val="ru-RU" w:eastAsia="ru-RU"/>
        </w:rPr>
        <w:t xml:space="preserve">Національної академії аграрних наук України, </w:t>
      </w:r>
    </w:p>
    <w:p w:rsidR="003645B6" w:rsidRDefault="003645B6" w:rsidP="003645B6">
      <w:pPr>
        <w:widowControl w:val="0"/>
        <w:spacing w:after="0" w:line="240" w:lineRule="auto"/>
      </w:pPr>
      <w:r w:rsidRPr="00B341D6">
        <w:rPr>
          <w:rFonts w:eastAsia="Times New Roman"/>
          <w:sz w:val="28"/>
          <w:szCs w:val="28"/>
          <w:lang w:eastAsia="ru-RU"/>
        </w:rPr>
        <w:t>Київ, Україна</w:t>
      </w:r>
    </w:p>
    <w:p w:rsidR="003645B6" w:rsidRDefault="003645B6" w:rsidP="003645B6">
      <w:pPr>
        <w:widowControl w:val="0"/>
        <w:spacing w:after="0" w:line="240" w:lineRule="auto"/>
      </w:pPr>
      <w:r w:rsidRPr="00B341D6">
        <w:rPr>
          <w:rFonts w:eastAsiaTheme="minorEastAsia"/>
          <w:sz w:val="28"/>
          <w:szCs w:val="28"/>
          <w:lang w:eastAsia="ru-RU"/>
        </w:rPr>
        <w:t>е-</w:t>
      </w:r>
      <w:r>
        <w:rPr>
          <w:rFonts w:eastAsiaTheme="minorEastAsia"/>
          <w:sz w:val="28"/>
          <w:szCs w:val="28"/>
          <w:lang w:eastAsia="ru-RU"/>
        </w:rPr>
        <w:t>mail</w:t>
      </w:r>
      <w:r w:rsidRPr="00B341D6">
        <w:rPr>
          <w:rFonts w:eastAsiaTheme="minorEastAsia"/>
          <w:sz w:val="28"/>
          <w:szCs w:val="28"/>
          <w:lang w:eastAsia="ru-RU"/>
        </w:rPr>
        <w:t xml:space="preserve">: </w:t>
      </w:r>
      <w:hyperlink r:id="rId5">
        <w:r>
          <w:rPr>
            <w:rStyle w:val="a3"/>
            <w:rFonts w:eastAsiaTheme="minorEastAsia"/>
            <w:sz w:val="28"/>
            <w:szCs w:val="28"/>
            <w:lang w:eastAsia="ru-RU"/>
          </w:rPr>
          <w:t>tlm</w:t>
        </w:r>
        <w:r w:rsidRPr="00B341D6">
          <w:rPr>
            <w:rStyle w:val="a3"/>
            <w:rFonts w:eastAsiaTheme="minorEastAsia"/>
            <w:sz w:val="28"/>
            <w:szCs w:val="28"/>
            <w:lang w:eastAsia="ru-RU"/>
          </w:rPr>
          <w:t>2017@</w:t>
        </w:r>
        <w:r>
          <w:rPr>
            <w:rStyle w:val="a3"/>
            <w:rFonts w:eastAsiaTheme="minorEastAsia"/>
            <w:sz w:val="28"/>
            <w:szCs w:val="28"/>
            <w:lang w:eastAsia="ru-RU"/>
          </w:rPr>
          <w:t>ukr</w:t>
        </w:r>
        <w:r w:rsidRPr="00B341D6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r>
          <w:rPr>
            <w:rStyle w:val="a3"/>
            <w:rFonts w:eastAsiaTheme="minorEastAsia"/>
            <w:sz w:val="28"/>
            <w:szCs w:val="28"/>
            <w:lang w:eastAsia="ru-RU"/>
          </w:rPr>
          <w:t>net</w:t>
        </w:r>
      </w:hyperlink>
    </w:p>
    <w:p w:rsidR="003645B6" w:rsidRPr="00B341D6" w:rsidRDefault="003645B6" w:rsidP="003645B6">
      <w:pPr>
        <w:widowControl w:val="0"/>
        <w:spacing w:after="0" w:line="360" w:lineRule="auto"/>
        <w:rPr>
          <w:rFonts w:eastAsiaTheme="minorEastAsia"/>
          <w:sz w:val="28"/>
          <w:szCs w:val="28"/>
          <w:lang w:eastAsia="ru-RU"/>
        </w:rPr>
      </w:pPr>
    </w:p>
    <w:p w:rsidR="003645B6" w:rsidRDefault="003645B6" w:rsidP="003645B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uk-UA"/>
        </w:rPr>
      </w:pPr>
      <w:proofErr w:type="spellStart"/>
      <w:r>
        <w:rPr>
          <w:rFonts w:eastAsia="Times New Roman"/>
          <w:b/>
          <w:bCs/>
          <w:sz w:val="28"/>
          <w:szCs w:val="28"/>
          <w:lang w:eastAsia="uk-UA"/>
        </w:rPr>
        <w:t>Цифровізація</w:t>
      </w:r>
      <w:proofErr w:type="spellEnd"/>
      <w:r>
        <w:rPr>
          <w:rFonts w:eastAsia="Times New Roman"/>
          <w:b/>
          <w:bCs/>
          <w:sz w:val="28"/>
          <w:szCs w:val="28"/>
          <w:lang w:eastAsia="uk-UA"/>
        </w:rPr>
        <w:t xml:space="preserve"> як цілісне переосмислення моделі діяльності сільськогосподарської бібліотеки: виклики, можливості та нові підходи</w:t>
      </w:r>
    </w:p>
    <w:p w:rsidR="003645B6" w:rsidRDefault="003645B6" w:rsidP="003645B6">
      <w:pPr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  <w:lang w:eastAsia="uk-UA"/>
        </w:rPr>
        <w:t>до інформаційного забезпечення аграрної галузі</w:t>
      </w:r>
    </w:p>
    <w:p w:rsidR="003645B6" w:rsidRDefault="003645B6" w:rsidP="003645B6">
      <w:pPr>
        <w:spacing w:after="0" w:line="240" w:lineRule="auto"/>
        <w:jc w:val="center"/>
        <w:rPr>
          <w:rFonts w:eastAsia="Times New Roman"/>
          <w:sz w:val="28"/>
          <w:szCs w:val="28"/>
          <w:lang w:eastAsia="uk-UA"/>
        </w:rPr>
      </w:pPr>
    </w:p>
    <w:p w:rsidR="003645B6" w:rsidRDefault="003645B6" w:rsidP="003645B6">
      <w:pPr>
        <w:spacing w:after="0" w:line="240" w:lineRule="auto"/>
        <w:jc w:val="both"/>
      </w:pPr>
      <w:r>
        <w:rPr>
          <w:rFonts w:eastAsia="Times New Roman"/>
          <w:iCs/>
          <w:sz w:val="28"/>
          <w:szCs w:val="28"/>
          <w:lang w:eastAsia="uk-UA"/>
        </w:rPr>
        <w:t xml:space="preserve">Розглянуто </w:t>
      </w:r>
      <w:proofErr w:type="spellStart"/>
      <w:r>
        <w:rPr>
          <w:rFonts w:eastAsia="Times New Roman"/>
          <w:iCs/>
          <w:sz w:val="28"/>
          <w:szCs w:val="28"/>
          <w:lang w:eastAsia="uk-UA"/>
        </w:rPr>
        <w:t>цифровізацію</w:t>
      </w:r>
      <w:proofErr w:type="spellEnd"/>
      <w:r>
        <w:rPr>
          <w:rFonts w:eastAsia="Times New Roman"/>
          <w:iCs/>
          <w:sz w:val="28"/>
          <w:szCs w:val="28"/>
          <w:lang w:eastAsia="uk-UA"/>
        </w:rPr>
        <w:t xml:space="preserve"> як ключовий чинник трансформації </w:t>
      </w:r>
      <w:r>
        <w:rPr>
          <w:rFonts w:eastAsiaTheme="minorEastAsia"/>
          <w:iCs/>
          <w:sz w:val="28"/>
          <w:szCs w:val="28"/>
          <w:lang w:eastAsia="uk-UA"/>
        </w:rPr>
        <w:t>ННСГБ НААН</w:t>
      </w:r>
      <w:r>
        <w:rPr>
          <w:rFonts w:eastAsia="Times New Roman"/>
          <w:iCs/>
          <w:sz w:val="28"/>
          <w:szCs w:val="28"/>
          <w:lang w:eastAsia="uk-UA"/>
        </w:rPr>
        <w:t xml:space="preserve"> в умовах сучасного інформаційного суспільства. Проаналізовано, як цифрові технології змінюють функції, форми й напрями діяльності бібліотек аграрного профілю, сприяючи їх перетворенню на активні інформаційні </w:t>
      </w:r>
      <w:proofErr w:type="spellStart"/>
      <w:r>
        <w:rPr>
          <w:rFonts w:eastAsia="Times New Roman"/>
          <w:iCs/>
          <w:sz w:val="28"/>
          <w:szCs w:val="28"/>
          <w:lang w:eastAsia="uk-UA"/>
        </w:rPr>
        <w:t>хаби</w:t>
      </w:r>
      <w:proofErr w:type="spellEnd"/>
      <w:r>
        <w:rPr>
          <w:rFonts w:eastAsia="Times New Roman"/>
          <w:iCs/>
          <w:sz w:val="28"/>
          <w:szCs w:val="28"/>
          <w:lang w:eastAsia="uk-UA"/>
        </w:rPr>
        <w:t xml:space="preserve"> для фахівців аграрної галузі, науковців, фермерів. Окреслено основні виклики та можливості, що постають перед бібліотеками загалом у процесі цифрової трансформації.</w:t>
      </w:r>
    </w:p>
    <w:p w:rsidR="003645B6" w:rsidRDefault="003645B6" w:rsidP="00364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iCs/>
          <w:sz w:val="28"/>
          <w:szCs w:val="28"/>
          <w:lang w:eastAsia="uk-UA"/>
        </w:rPr>
      </w:pPr>
      <w:r>
        <w:rPr>
          <w:rFonts w:eastAsia="Times New Roman"/>
          <w:i/>
          <w:sz w:val="28"/>
          <w:szCs w:val="28"/>
          <w:lang w:eastAsia="uk-UA"/>
        </w:rPr>
        <w:t>Ключові слова</w:t>
      </w:r>
      <w:r>
        <w:rPr>
          <w:rFonts w:eastAsia="Times New Roman"/>
          <w:iCs/>
          <w:sz w:val="28"/>
          <w:szCs w:val="28"/>
          <w:lang w:eastAsia="uk-UA"/>
        </w:rPr>
        <w:t xml:space="preserve">: сільськогосподарська бібліотека, </w:t>
      </w:r>
      <w:proofErr w:type="spellStart"/>
      <w:r>
        <w:rPr>
          <w:rFonts w:eastAsia="Times New Roman"/>
          <w:iCs/>
          <w:sz w:val="28"/>
          <w:szCs w:val="28"/>
          <w:lang w:eastAsia="uk-UA"/>
        </w:rPr>
        <w:t>цифровізація</w:t>
      </w:r>
      <w:proofErr w:type="spellEnd"/>
      <w:r>
        <w:rPr>
          <w:rFonts w:eastAsia="Times New Roman"/>
          <w:iCs/>
          <w:sz w:val="28"/>
          <w:szCs w:val="28"/>
          <w:lang w:eastAsia="uk-UA"/>
        </w:rPr>
        <w:t>, інформаційне забезпечення, аграрна галузь, електронні ресурси, цифрові сервіси.</w:t>
      </w:r>
    </w:p>
    <w:p w:rsidR="003645B6" w:rsidRDefault="003645B6" w:rsidP="00364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 w:val="28"/>
          <w:szCs w:val="28"/>
          <w:lang w:eastAsia="uk-UA"/>
        </w:rPr>
      </w:pPr>
    </w:p>
    <w:p w:rsidR="003645B6" w:rsidRDefault="003645B6" w:rsidP="003645B6">
      <w:pPr>
        <w:spacing w:after="0" w:line="360" w:lineRule="auto"/>
        <w:ind w:firstLine="709"/>
        <w:jc w:val="both"/>
      </w:pPr>
      <w:r>
        <w:rPr>
          <w:rFonts w:eastAsia="Times New Roman"/>
          <w:sz w:val="28"/>
          <w:szCs w:val="28"/>
          <w:lang w:eastAsia="uk-UA"/>
        </w:rPr>
        <w:t xml:space="preserve">У XXI столітті </w:t>
      </w:r>
      <w:r>
        <w:rPr>
          <w:sz w:val="28"/>
          <w:szCs w:val="28"/>
        </w:rPr>
        <w:t xml:space="preserve">процес впровадження цифрових технологій та </w:t>
      </w:r>
      <w:proofErr w:type="spellStart"/>
      <w:r>
        <w:rPr>
          <w:sz w:val="28"/>
          <w:szCs w:val="28"/>
        </w:rPr>
        <w:t>інструментів</w:t>
      </w:r>
      <w:r>
        <w:rPr>
          <w:rFonts w:eastAsia="Times New Roman"/>
          <w:sz w:val="28"/>
          <w:szCs w:val="28"/>
          <w:lang w:eastAsia="uk-UA"/>
        </w:rPr>
        <w:t>набули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 вирішального значення для розвитку інформаційної інфраструктури в усіх сферах життя, зокрема й у бібліотечній справі. Бібліотеки незалежно від типу, виду, підпорядкування забезпечують доступ до науково-технічної інформації відповідно напрямів діяльності. Наразі вони опинилися на етапі глибокого переосмислення своєї ролі, функцій і методів роботи. Цифрова трансформація не лише модернізує технічні засоби доступу до інформації, а й змінює саму парадигму бібліотечної діяльності – від пасивного зберігання знань до активного створення та поширення цифрового контенту.</w:t>
      </w:r>
    </w:p>
    <w:p w:rsidR="003645B6" w:rsidRDefault="003645B6" w:rsidP="003645B6">
      <w:pPr>
        <w:shd w:val="clear" w:color="auto" w:fill="FFFFFF"/>
        <w:spacing w:after="0" w:line="360" w:lineRule="auto"/>
        <w:ind w:firstLine="709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Національна наукова сільськогосподарська бібліотека Національної академії аграрних наук України </w:t>
      </w:r>
      <w:r>
        <w:rPr>
          <w:rFonts w:eastAsiaTheme="minorEastAsia"/>
          <w:sz w:val="28"/>
          <w:szCs w:val="28"/>
          <w:lang w:eastAsia="uk-UA"/>
        </w:rPr>
        <w:t xml:space="preserve">(ННСГБ НААН) </w:t>
      </w:r>
      <w:r>
        <w:rPr>
          <w:rFonts w:eastAsia="Times New Roman"/>
          <w:sz w:val="28"/>
          <w:szCs w:val="28"/>
          <w:lang w:eastAsia="uk-UA"/>
        </w:rPr>
        <w:t xml:space="preserve">як </w:t>
      </w:r>
      <w:r>
        <w:rPr>
          <w:rFonts w:eastAsiaTheme="minorEastAsia"/>
          <w:sz w:val="28"/>
          <w:szCs w:val="28"/>
          <w:lang w:eastAsia="ru-RU"/>
        </w:rPr>
        <w:t xml:space="preserve">провідна спеціальна бібліотека загальнодержавного значення з формування галузевого сегмента аграрних наук не залишається осторонь трансформаційних змін і активно спрямовує свою діяльність </w:t>
      </w:r>
      <w:r>
        <w:rPr>
          <w:rFonts w:eastAsia="Times New Roman"/>
          <w:sz w:val="28"/>
          <w:szCs w:val="28"/>
          <w:lang w:eastAsia="uk-UA"/>
        </w:rPr>
        <w:t xml:space="preserve">на впровадження цифрових технологій у всі аспекти бібліотечного обслуговування. </w:t>
      </w:r>
    </w:p>
    <w:p w:rsidR="003645B6" w:rsidRDefault="003645B6" w:rsidP="003645B6">
      <w:pPr>
        <w:spacing w:after="0" w:line="360" w:lineRule="auto"/>
        <w:ind w:firstLine="709"/>
        <w:jc w:val="both"/>
      </w:pPr>
      <w:r>
        <w:rPr>
          <w:rFonts w:eastAsia="Times New Roman"/>
          <w:sz w:val="28"/>
          <w:szCs w:val="28"/>
          <w:lang w:eastAsia="uk-UA"/>
        </w:rPr>
        <w:lastRenderedPageBreak/>
        <w:t xml:space="preserve">ННСГБ НААН традиційно відіграє роль посередника між науковим знанням та практикою у сфері сільського господарства. В умовах </w:t>
      </w:r>
      <w:proofErr w:type="spellStart"/>
      <w:r>
        <w:rPr>
          <w:rFonts w:eastAsia="Times New Roman"/>
          <w:sz w:val="28"/>
          <w:szCs w:val="28"/>
          <w:lang w:eastAsia="uk-UA"/>
        </w:rPr>
        <w:t>цифровізації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 це посередництво набуває нових форм й охоплює низку напрямів:</w:t>
      </w:r>
      <w:r>
        <w:rPr>
          <w:rFonts w:eastAsia="Times New Roman"/>
          <w:bCs/>
          <w:sz w:val="28"/>
          <w:szCs w:val="28"/>
          <w:lang w:eastAsia="uk-UA"/>
        </w:rPr>
        <w:t>1) </w:t>
      </w:r>
      <w:proofErr w:type="spellStart"/>
      <w:r>
        <w:rPr>
          <w:rFonts w:eastAsia="Times New Roman"/>
          <w:bCs/>
          <w:sz w:val="28"/>
          <w:szCs w:val="28"/>
          <w:lang w:eastAsia="uk-UA"/>
        </w:rPr>
        <w:t>формування</w:t>
      </w:r>
      <w:r>
        <w:rPr>
          <w:rFonts w:eastAsia="Times New Roman"/>
          <w:sz w:val="28"/>
          <w:szCs w:val="28"/>
          <w:lang w:eastAsia="uk-UA"/>
        </w:rPr>
        <w:t>електронних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 ресурсів</w:t>
      </w:r>
      <w:r>
        <w:rPr>
          <w:rFonts w:eastAsia="Times New Roman"/>
          <w:bCs/>
          <w:sz w:val="28"/>
          <w:szCs w:val="28"/>
          <w:lang w:eastAsia="uk-UA"/>
        </w:rPr>
        <w:t>,</w:t>
      </w:r>
      <w:r>
        <w:rPr>
          <w:rFonts w:eastAsia="Times New Roman"/>
          <w:sz w:val="28"/>
          <w:szCs w:val="28"/>
          <w:lang w:eastAsia="uk-UA"/>
        </w:rPr>
        <w:t xml:space="preserve"> актуальних баз даних, що об’єднують наукові та освітні ресурси, доступні для користувачів; </w:t>
      </w:r>
      <w:r>
        <w:rPr>
          <w:rFonts w:eastAsia="Times New Roman"/>
          <w:bCs/>
          <w:sz w:val="28"/>
          <w:szCs w:val="28"/>
          <w:lang w:eastAsia="uk-UA"/>
        </w:rPr>
        <w:t>2) </w:t>
      </w:r>
      <w:proofErr w:type="spellStart"/>
      <w:r>
        <w:rPr>
          <w:rFonts w:eastAsia="Times New Roman"/>
          <w:bCs/>
          <w:sz w:val="28"/>
          <w:szCs w:val="28"/>
          <w:lang w:eastAsia="uk-UA"/>
        </w:rPr>
        <w:t>оцифрування</w:t>
      </w:r>
      <w:proofErr w:type="spellEnd"/>
      <w:r>
        <w:rPr>
          <w:rFonts w:eastAsia="Times New Roman"/>
          <w:bCs/>
          <w:sz w:val="28"/>
          <w:szCs w:val="28"/>
          <w:lang w:eastAsia="uk-UA"/>
        </w:rPr>
        <w:t xml:space="preserve"> інформаційних ресурсів:</w:t>
      </w:r>
      <w:r>
        <w:rPr>
          <w:rFonts w:eastAsia="Times New Roman"/>
          <w:sz w:val="28"/>
          <w:szCs w:val="28"/>
          <w:lang w:eastAsia="uk-UA"/>
        </w:rPr>
        <w:t xml:space="preserve"> створення електронних версій наукових публікацій, методичних матеріалів, монографій, що забезпечує збереження наукової спадщини та доступ до неї; 3) </w:t>
      </w:r>
      <w:r>
        <w:rPr>
          <w:rFonts w:eastAsia="Times New Roman"/>
          <w:bCs/>
          <w:sz w:val="28"/>
          <w:szCs w:val="28"/>
          <w:lang w:eastAsia="uk-UA"/>
        </w:rPr>
        <w:t>впровадження цифрових сервісів:</w:t>
      </w:r>
      <w:r>
        <w:rPr>
          <w:rFonts w:eastAsia="Times New Roman"/>
          <w:sz w:val="28"/>
          <w:szCs w:val="28"/>
          <w:lang w:eastAsia="uk-UA"/>
        </w:rPr>
        <w:t xml:space="preserve"> створення </w:t>
      </w:r>
      <w:proofErr w:type="spellStart"/>
      <w:r>
        <w:rPr>
          <w:rFonts w:eastAsia="Times New Roman"/>
          <w:sz w:val="28"/>
          <w:szCs w:val="28"/>
          <w:lang w:eastAsia="uk-UA"/>
        </w:rPr>
        <w:t>онлайн-платформ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 для доступу до інформації, проведення </w:t>
      </w:r>
      <w:proofErr w:type="spellStart"/>
      <w:r>
        <w:rPr>
          <w:rFonts w:eastAsia="Times New Roman"/>
          <w:sz w:val="28"/>
          <w:szCs w:val="28"/>
          <w:lang w:eastAsia="uk-UA"/>
        </w:rPr>
        <w:t>вебінарів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eastAsia="uk-UA"/>
        </w:rPr>
        <w:t>онлайн-консультацій</w:t>
      </w:r>
      <w:proofErr w:type="spellEnd"/>
      <w:r>
        <w:rPr>
          <w:rFonts w:eastAsia="Times New Roman"/>
          <w:sz w:val="28"/>
          <w:szCs w:val="28"/>
          <w:lang w:eastAsia="uk-UA"/>
        </w:rPr>
        <w:t>, що сприяє інтерактивному обміну знаннями; та 4) </w:t>
      </w:r>
      <w:r>
        <w:rPr>
          <w:rFonts w:eastAsia="Times New Roman"/>
          <w:bCs/>
          <w:sz w:val="28"/>
          <w:szCs w:val="28"/>
          <w:lang w:eastAsia="uk-UA"/>
        </w:rPr>
        <w:t>підвищення цифрової грамотності користувачів:</w:t>
      </w:r>
      <w:r>
        <w:rPr>
          <w:rFonts w:eastAsia="Times New Roman"/>
          <w:sz w:val="28"/>
          <w:szCs w:val="28"/>
          <w:lang w:eastAsia="uk-UA"/>
        </w:rPr>
        <w:t xml:space="preserve"> організація навчальних програм, тренінгів та майстер-класів для аграріїв, студентів та науковців з освоєння цифрових інструментів.</w:t>
      </w:r>
    </w:p>
    <w:p w:rsidR="003645B6" w:rsidRDefault="003645B6" w:rsidP="003645B6">
      <w:pPr>
        <w:pStyle w:val="a6"/>
        <w:spacing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Бібліотека системно розвиває електронні ресурси, зокрема ф</w:t>
      </w:r>
      <w:r>
        <w:rPr>
          <w:bCs/>
          <w:color w:val="231F20"/>
          <w:sz w:val="28"/>
          <w:szCs w:val="28"/>
          <w:lang w:eastAsia="ru-RU"/>
        </w:rPr>
        <w:t>ормує національний галузевий електронний ресурс</w:t>
      </w:r>
      <w:r>
        <w:rPr>
          <w:color w:val="231F20"/>
          <w:sz w:val="28"/>
          <w:szCs w:val="28"/>
          <w:lang w:eastAsia="ru-RU"/>
        </w:rPr>
        <w:t xml:space="preserve"> «УкрАгротека»</w:t>
      </w:r>
      <w:r>
        <w:rPr>
          <w:bCs/>
          <w:color w:val="231F20"/>
          <w:sz w:val="28"/>
          <w:szCs w:val="28"/>
          <w:lang w:eastAsia="ru-RU"/>
        </w:rPr>
        <w:t>(</w:t>
      </w:r>
      <w:hyperlink r:id="rId6">
        <w:r>
          <w:rPr>
            <w:rStyle w:val="a3"/>
            <w:bCs/>
            <w:sz w:val="28"/>
            <w:szCs w:val="28"/>
            <w:lang w:eastAsia="ru-RU"/>
          </w:rPr>
          <w:t>http://base.dnsgb.com.ua/cgibin/irbis64r/cgiirbis_64.exe?LNG=uk&amp;C21COM=F&amp;I21DBN=DNSGB&amp;P21DBN=DNSGB</w:t>
        </w:r>
      </w:hyperlink>
      <w:r>
        <w:rPr>
          <w:bCs/>
          <w:color w:val="231F20"/>
          <w:sz w:val="28"/>
          <w:szCs w:val="28"/>
          <w:lang w:eastAsia="ru-RU"/>
        </w:rPr>
        <w:t xml:space="preserve">). Він являє собою </w:t>
      </w:r>
      <w:proofErr w:type="spellStart"/>
      <w:r>
        <w:rPr>
          <w:bCs/>
          <w:color w:val="231F20"/>
          <w:sz w:val="28"/>
          <w:szCs w:val="28"/>
          <w:lang w:eastAsia="ru-RU"/>
        </w:rPr>
        <w:t>політематичну</w:t>
      </w:r>
      <w:proofErr w:type="spellEnd"/>
      <w:r>
        <w:rPr>
          <w:bCs/>
          <w:color w:val="231F20"/>
          <w:sz w:val="28"/>
          <w:szCs w:val="28"/>
          <w:lang w:eastAsia="ru-RU"/>
        </w:rPr>
        <w:t xml:space="preserve"> базу даних електронних ресурсів, що з використанням широкого спектра пошукових можливостей уможливлюють доступ до інформації з аграрних </w:t>
      </w:r>
      <w:proofErr w:type="spellStart"/>
      <w:r>
        <w:rPr>
          <w:bCs/>
          <w:color w:val="231F20"/>
          <w:sz w:val="28"/>
          <w:szCs w:val="28"/>
          <w:lang w:eastAsia="ru-RU"/>
        </w:rPr>
        <w:t>питань</w:t>
      </w:r>
      <w:r>
        <w:rPr>
          <w:sz w:val="28"/>
          <w:szCs w:val="28"/>
        </w:rPr>
        <w:t>.</w:t>
      </w:r>
      <w:r>
        <w:rPr>
          <w:color w:val="231F20"/>
          <w:sz w:val="28"/>
          <w:szCs w:val="28"/>
          <w:lang w:eastAsia="ru-RU"/>
        </w:rPr>
        <w:t>На</w:t>
      </w:r>
      <w:proofErr w:type="spellEnd"/>
      <w:r>
        <w:rPr>
          <w:color w:val="231F20"/>
          <w:sz w:val="28"/>
          <w:szCs w:val="28"/>
          <w:lang w:eastAsia="ru-RU"/>
        </w:rPr>
        <w:t xml:space="preserve"> його базі створено </w:t>
      </w:r>
      <w:r>
        <w:rPr>
          <w:sz w:val="28"/>
          <w:szCs w:val="28"/>
        </w:rPr>
        <w:t xml:space="preserve">електронну наукову </w:t>
      </w:r>
      <w:r>
        <w:rPr>
          <w:color w:val="231F20"/>
          <w:sz w:val="28"/>
          <w:szCs w:val="28"/>
          <w:lang w:eastAsia="ru-RU"/>
        </w:rPr>
        <w:t xml:space="preserve">сільськогосподарську бібліотеку, складником якої є ресурси власної генерації, </w:t>
      </w:r>
      <w:proofErr w:type="spellStart"/>
      <w:r>
        <w:rPr>
          <w:color w:val="231F20"/>
          <w:sz w:val="28"/>
          <w:szCs w:val="28"/>
          <w:lang w:eastAsia="ru-RU"/>
        </w:rPr>
        <w:t>оцифровані</w:t>
      </w:r>
      <w:proofErr w:type="spellEnd"/>
      <w:r>
        <w:rPr>
          <w:color w:val="231F20"/>
          <w:sz w:val="28"/>
          <w:szCs w:val="28"/>
          <w:lang w:eastAsia="ru-RU"/>
        </w:rPr>
        <w:t xml:space="preserve">, запозичені. Створюються актуальні </w:t>
      </w:r>
      <w:r>
        <w:rPr>
          <w:sz w:val="28"/>
          <w:szCs w:val="28"/>
        </w:rPr>
        <w:t xml:space="preserve">галузеві бази даних, що відображають сучасний стан і перспективи аграрної науки, зокрема, </w:t>
      </w:r>
      <w:r>
        <w:rPr>
          <w:bCs/>
          <w:sz w:val="28"/>
          <w:szCs w:val="28"/>
        </w:rPr>
        <w:t>«Євроінтеграція», «АПК України в глобальних умовах зміни клімату», «CОVID-19», «</w:t>
      </w:r>
      <w:r>
        <w:rPr>
          <w:sz w:val="28"/>
          <w:szCs w:val="28"/>
        </w:rPr>
        <w:t xml:space="preserve">Бібліотека на допомогу АПВ в умовах війни», та цифрові колекції: «Документи 19 століття», Колекція «Золотий буряк», «Українська сільськогосподарська книга» тощо. Забезпечується доступ користувачів до </w:t>
      </w:r>
      <w:hyperlink r:id="rId7" w:tgtFrame="_blank">
        <w:r>
          <w:rPr>
            <w:sz w:val="28"/>
            <w:szCs w:val="28"/>
          </w:rPr>
          <w:t>Міжнародної інформаційної системи з сільськогосподарських наук і технологій</w:t>
        </w:r>
      </w:hyperlink>
      <w:r>
        <w:rPr>
          <w:sz w:val="28"/>
          <w:szCs w:val="28"/>
          <w:lang w:val="en-US"/>
        </w:rPr>
        <w:t>AGRIS</w:t>
      </w:r>
      <w:r>
        <w:rPr>
          <w:rStyle w:val="a3"/>
        </w:rPr>
        <w:t xml:space="preserve"> (</w:t>
      </w:r>
      <w:r>
        <w:rPr>
          <w:rStyle w:val="rynqvb"/>
          <w:sz w:val="28"/>
          <w:szCs w:val="28"/>
        </w:rPr>
        <w:t xml:space="preserve">платформа надає безоплатний доступ до більш ніж 14 </w:t>
      </w:r>
      <w:proofErr w:type="spellStart"/>
      <w:r>
        <w:rPr>
          <w:rStyle w:val="rynqvb"/>
          <w:sz w:val="28"/>
          <w:szCs w:val="28"/>
        </w:rPr>
        <w:t>млн</w:t>
      </w:r>
      <w:proofErr w:type="spellEnd"/>
      <w:r>
        <w:rPr>
          <w:rStyle w:val="rynqvb"/>
          <w:sz w:val="28"/>
          <w:szCs w:val="28"/>
        </w:rPr>
        <w:t xml:space="preserve"> бібліографічних записів 100 мовами у галузі продовольства та сільського господарства)</w:t>
      </w:r>
      <w:r>
        <w:rPr>
          <w:sz w:val="28"/>
          <w:szCs w:val="28"/>
        </w:rPr>
        <w:t xml:space="preserve">, колекцій журналів, електронних бібліотек, закордонних баз </w:t>
      </w:r>
      <w:r>
        <w:rPr>
          <w:sz w:val="28"/>
          <w:szCs w:val="28"/>
        </w:rPr>
        <w:lastRenderedPageBreak/>
        <w:t xml:space="preserve">наукової інформації </w:t>
      </w:r>
      <w:r>
        <w:rPr>
          <w:bCs/>
          <w:sz w:val="28"/>
          <w:szCs w:val="28"/>
          <w:lang w:val="en-US"/>
        </w:rPr>
        <w:t>Scopus</w:t>
      </w:r>
      <w:r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WebofScience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ScienceDirect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Benthamscience</w:t>
      </w:r>
      <w:proofErr w:type="spellEnd"/>
      <w:r>
        <w:rPr>
          <w:color w:val="000000"/>
          <w:sz w:val="28"/>
          <w:szCs w:val="28"/>
        </w:rPr>
        <w:t>,</w:t>
      </w:r>
      <w:r>
        <w:rPr>
          <w:sz w:val="28"/>
          <w:szCs w:val="28"/>
          <w:lang w:val="en-US"/>
        </w:rPr>
        <w:t>Research</w:t>
      </w:r>
      <w:r>
        <w:rPr>
          <w:sz w:val="28"/>
          <w:szCs w:val="28"/>
        </w:rPr>
        <w:t>4Lif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тощо. Значна увага колективом бібліотеки приділяється створенню відкритого електронного архіву наукових публікацій, упровадженню інтелектуальних пошукових сервісів та автоматизованих систем управління ресурсами. </w:t>
      </w:r>
    </w:p>
    <w:p w:rsidR="003645B6" w:rsidRDefault="003645B6" w:rsidP="003645B6">
      <w:pPr>
        <w:pStyle w:val="a6"/>
        <w:spacing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У рамках стратегії цифрового розвитку ННСГБ НААН активно співпрацює з міжнародними інформаційними структурами, бере участь у наукових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, інтегрується у світовий науково-інформаційний простір. Уся ця діяльність спрямована на підвищення відкритості, </w:t>
      </w:r>
      <w:proofErr w:type="spellStart"/>
      <w:r>
        <w:rPr>
          <w:sz w:val="28"/>
          <w:szCs w:val="28"/>
        </w:rPr>
        <w:t>інклюзивності</w:t>
      </w:r>
      <w:proofErr w:type="spellEnd"/>
      <w:r>
        <w:rPr>
          <w:sz w:val="28"/>
          <w:szCs w:val="28"/>
        </w:rPr>
        <w:t xml:space="preserve"> та ефективності бібліотеки як ключового елементу національної аграрної інформаційної системи. </w:t>
      </w:r>
    </w:p>
    <w:p w:rsidR="003645B6" w:rsidRDefault="003645B6" w:rsidP="003645B6">
      <w:pPr>
        <w:shd w:val="clear" w:color="auto" w:fill="FFFFFF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В умовах воєнного стану співробітники бібліотеки як науково-дослідної установи категорії «А» постійно удосконалюють й розширюють свою діяльність, виконуючи важливу соціальну та наукову функцію, забезпечуючи безперервний інформаційний супровід аграрної науки, освіти та </w:t>
      </w:r>
      <w:proofErr w:type="spellStart"/>
      <w:r>
        <w:rPr>
          <w:sz w:val="28"/>
          <w:szCs w:val="28"/>
        </w:rPr>
        <w:t>практики</w:t>
      </w:r>
      <w:r>
        <w:rPr>
          <w:rFonts w:eastAsia="Times New Roman"/>
          <w:sz w:val="28"/>
          <w:szCs w:val="28"/>
          <w:lang w:eastAsia="uk-UA"/>
        </w:rPr>
        <w:t>.</w:t>
      </w:r>
      <w:r>
        <w:rPr>
          <w:sz w:val="28"/>
          <w:szCs w:val="28"/>
        </w:rPr>
        <w:t>Підтримка</w:t>
      </w:r>
      <w:proofErr w:type="spellEnd"/>
      <w:r>
        <w:rPr>
          <w:sz w:val="28"/>
          <w:szCs w:val="28"/>
        </w:rPr>
        <w:t xml:space="preserve"> доступу до цифрових ресурсів у віддаленому режимі, організація </w:t>
      </w:r>
      <w:proofErr w:type="spellStart"/>
      <w:r>
        <w:rPr>
          <w:sz w:val="28"/>
          <w:szCs w:val="28"/>
        </w:rPr>
        <w:t>онлайн-заходів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вебінарів</w:t>
      </w:r>
      <w:proofErr w:type="spellEnd"/>
      <w:r>
        <w:rPr>
          <w:sz w:val="28"/>
          <w:szCs w:val="28"/>
        </w:rPr>
        <w:t xml:space="preserve"> і консультацій дозволяють ефективно реагувати на виклики часу та задовольняти потреби широкого кола користувачів </w:t>
      </w:r>
      <w:r>
        <w:rPr>
          <w:rFonts w:eastAsia="Times New Roman"/>
          <w:sz w:val="28"/>
          <w:szCs w:val="28"/>
          <w:lang w:eastAsia="uk-UA"/>
        </w:rPr>
        <w:t>–</w:t>
      </w:r>
      <w:r>
        <w:rPr>
          <w:sz w:val="28"/>
          <w:szCs w:val="28"/>
        </w:rPr>
        <w:t xml:space="preserve"> науковців, здобувачів освіти, фахівців аграрного сектору. З метою популяризації напрацювань ННСГБ НААН проведено низку семінарів: «Організація збереження бібліотечних фондів ННСГБ НААН: традиційні та інноваційні форми й методи», «</w:t>
      </w:r>
      <w:r>
        <w:rPr>
          <w:rFonts w:eastAsia="Times New Roman"/>
          <w:sz w:val="28"/>
          <w:szCs w:val="28"/>
          <w:lang w:eastAsia="ru-RU"/>
        </w:rPr>
        <w:t xml:space="preserve">Проблемні питання комплектування фондів ННСГБ НААН в умовах карантину та </w:t>
      </w:r>
      <w:r>
        <w:rPr>
          <w:sz w:val="28"/>
          <w:szCs w:val="28"/>
        </w:rPr>
        <w:t>воєнного</w:t>
      </w:r>
      <w:r>
        <w:rPr>
          <w:rFonts w:eastAsia="Times New Roman"/>
          <w:sz w:val="28"/>
          <w:szCs w:val="28"/>
          <w:lang w:eastAsia="ru-RU"/>
        </w:rPr>
        <w:t xml:space="preserve"> стану в країні»</w:t>
      </w:r>
      <w:r>
        <w:rPr>
          <w:sz w:val="28"/>
          <w:szCs w:val="28"/>
        </w:rPr>
        <w:t xml:space="preserve">, «Модернізація діяльності архівних установ через сучасні інноваційні технології: критерії та перспективи», «Діяльність спеціальних бібліотек як джерело інформаційної підтримки наукових досліджень на прикладі ННСГБ НААН», «Репрезентативність наукового потенціалу НААН у міжнародних базах даних як складова іміджу аграрної науки України», «Механізми нормативно-правового регулювання відносин з дотримання авторських прав в інформаційно-комунікаційній діяльності спеціальних галузевих бібліотек» </w:t>
      </w:r>
      <w:r>
        <w:rPr>
          <w:rStyle w:val="xfm45998727"/>
          <w:sz w:val="28"/>
          <w:szCs w:val="28"/>
        </w:rPr>
        <w:t>тощо.</w:t>
      </w:r>
    </w:p>
    <w:p w:rsidR="003645B6" w:rsidRDefault="003645B6" w:rsidP="003645B6">
      <w:pPr>
        <w:pStyle w:val="a6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Попри ефективну </w:t>
      </w:r>
      <w:proofErr w:type="spellStart"/>
      <w:r>
        <w:rPr>
          <w:bCs/>
          <w:sz w:val="28"/>
          <w:szCs w:val="28"/>
        </w:rPr>
        <w:t>роботу</w:t>
      </w:r>
      <w:r>
        <w:rPr>
          <w:sz w:val="28"/>
          <w:szCs w:val="28"/>
        </w:rPr>
        <w:t>ННСГБ</w:t>
      </w:r>
      <w:proofErr w:type="spellEnd"/>
      <w:r>
        <w:rPr>
          <w:sz w:val="28"/>
          <w:szCs w:val="28"/>
        </w:rPr>
        <w:t xml:space="preserve"> НААН, </w:t>
      </w:r>
      <w:r>
        <w:rPr>
          <w:bCs/>
          <w:sz w:val="28"/>
          <w:szCs w:val="28"/>
        </w:rPr>
        <w:t xml:space="preserve">спрямовану </w:t>
      </w:r>
      <w:proofErr w:type="spellStart"/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цифрових технологій, маємо й проблеми, як-от: обмежені ресурси для впровадження новітніх технологій та підтримки чинних систем; потреба у фахівцях з інформаційних технологій, здатних розробляти та підтримувати цифрові сервіси; нерівний доступ до цифрових ресурсів; складнощі у переведенні друкованих матеріалів у цифровий формат, зокрема через відсутність стандартів та технічних засобів. Але це ті виклики, які попри свою складність, відкривають нові можливості для розвитку бібліотеки як сучасного центру знань і цифрової компетентності. Вони стимулюють переосмислення стратегічного підходу до </w:t>
      </w:r>
      <w:proofErr w:type="spellStart"/>
      <w:r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, пошук партнерств з </w:t>
      </w:r>
      <w:proofErr w:type="spellStart"/>
      <w:r>
        <w:rPr>
          <w:sz w:val="28"/>
          <w:szCs w:val="28"/>
        </w:rPr>
        <w:t>ІТ-компаніями</w:t>
      </w:r>
      <w:proofErr w:type="spellEnd"/>
      <w:r>
        <w:rPr>
          <w:sz w:val="28"/>
          <w:szCs w:val="28"/>
        </w:rPr>
        <w:t xml:space="preserve">, навчально-освітніми закладами та громадськими організаціями, що можуть надати необхідну технічну й експертну підтримку. Ці виклики </w:t>
      </w:r>
      <w:r>
        <w:rPr>
          <w:rFonts w:eastAsia="Calibri"/>
          <w:kern w:val="2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не перепони, а драйвери змін, здатні трансформувати бібліотеку в сучасний інформаційний центр, що відповідає потребам цифрової епохи.</w:t>
      </w:r>
    </w:p>
    <w:p w:rsidR="003645B6" w:rsidRDefault="003645B6" w:rsidP="003645B6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Впровадження цифрових технологій </w:t>
      </w:r>
      <w:r>
        <w:rPr>
          <w:rFonts w:eastAsia="Calibri"/>
          <w:kern w:val="2"/>
          <w:sz w:val="28"/>
          <w:szCs w:val="28"/>
          <w:lang w:val="ru-RU"/>
        </w:rPr>
        <w:t>–</w:t>
      </w:r>
      <w:r>
        <w:rPr>
          <w:rFonts w:eastAsia="Times New Roman"/>
          <w:sz w:val="28"/>
          <w:szCs w:val="28"/>
          <w:lang w:eastAsia="uk-UA"/>
        </w:rPr>
        <w:t>це не лише технологічне оновлення, а й глибоке концептуальне переосмислення місця ННСГБ НААН в аграрному науково-освітньому просторі. Це нові можливості для інтеграції знань, забезпечення сталого розвитку сільських територій і формування культури цифрової взаємодії в агросфері. Важливо, щоб ці процеси супроводжувалися державною підтримкою, інституційною взаємодією та інвестиціями в цифрову інфраструктуру.</w:t>
      </w:r>
    </w:p>
    <w:p w:rsidR="003645B6" w:rsidRDefault="003645B6" w:rsidP="003645B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:rsidR="003645B6" w:rsidRDefault="003645B6" w:rsidP="003645B6">
      <w:pPr>
        <w:pStyle w:val="a5"/>
        <w:shd w:val="clear" w:color="auto" w:fill="FFFFFF"/>
        <w:spacing w:after="0" w:line="240" w:lineRule="auto"/>
        <w:ind w:left="0"/>
        <w:jc w:val="both"/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Liudmyla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Tatarchuk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</w:t>
      </w:r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ORCID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://orcid.org/0000-0003-4714-6958</w:t>
        </w:r>
      </w:hyperlink>
    </w:p>
    <w:p w:rsidR="003645B6" w:rsidRDefault="003645B6" w:rsidP="003645B6">
      <w:pPr>
        <w:pStyle w:val="a5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PhD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History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</w:t>
      </w:r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deputy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Agricultural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Library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Academy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Agrarian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Kyiv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Ukraine</w:t>
      </w:r>
      <w:proofErr w:type="spellEnd"/>
    </w:p>
    <w:p w:rsidR="003645B6" w:rsidRDefault="003645B6" w:rsidP="003645B6">
      <w:pPr>
        <w:pStyle w:val="a5"/>
        <w:widowControl w:val="0"/>
        <w:spacing w:after="0" w:line="240" w:lineRule="auto"/>
        <w:ind w:left="0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е-mail: </w:t>
      </w:r>
      <w:hyperlink r:id="rId9">
        <w:r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tlm2017@ukr.net</w:t>
        </w:r>
      </w:hyperlink>
    </w:p>
    <w:p w:rsidR="003645B6" w:rsidRDefault="003645B6" w:rsidP="003645B6">
      <w:pPr>
        <w:spacing w:after="0" w:line="240" w:lineRule="auto"/>
        <w:rPr>
          <w:b/>
          <w:bCs/>
          <w:iCs/>
          <w:sz w:val="28"/>
          <w:szCs w:val="28"/>
        </w:rPr>
      </w:pPr>
    </w:p>
    <w:p w:rsidR="003645B6" w:rsidRDefault="003645B6" w:rsidP="003645B6">
      <w:pPr>
        <w:pStyle w:val="a5"/>
        <w:spacing w:after="0" w:line="240" w:lineRule="auto"/>
        <w:ind w:left="0"/>
        <w:jc w:val="center"/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Digitalization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holistic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rethinking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library's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operation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model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challenges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opportunities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approaches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support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sector</w:t>
      </w:r>
      <w:proofErr w:type="spellEnd"/>
    </w:p>
    <w:p w:rsidR="003645B6" w:rsidRDefault="003645B6" w:rsidP="003645B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45B6" w:rsidRDefault="003645B6" w:rsidP="003645B6">
      <w:pPr>
        <w:pStyle w:val="a5"/>
        <w:spacing w:after="0" w:line="240" w:lineRule="auto"/>
        <w:ind w:left="0"/>
        <w:jc w:val="both"/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lastRenderedPageBreak/>
        <w:t>It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examines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digitalization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key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factor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transforming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Scientific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Library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Academy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Agrarian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Sciences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within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context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society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analyzes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reshaping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functions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formats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directions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libraries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facilitating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their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transformation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active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hubs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professionals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researchers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farmers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main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challenges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opportunities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encountered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libraries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broader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context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transformation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outlined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645B6" w:rsidRDefault="003645B6" w:rsidP="003645B6">
      <w:pPr>
        <w:pStyle w:val="a5"/>
        <w:spacing w:after="0" w:line="240" w:lineRule="auto"/>
        <w:ind w:left="0"/>
        <w:jc w:val="both"/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library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digitalization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support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agricultural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sector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electronic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resources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services</w:t>
      </w:r>
      <w:proofErr w:type="spellEnd"/>
    </w:p>
    <w:p w:rsidR="004A6EEF" w:rsidRDefault="004A6EEF"/>
    <w:sectPr w:rsidR="004A6EEF" w:rsidSect="004A6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45B6"/>
    <w:rsid w:val="003645B6"/>
    <w:rsid w:val="004A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B6"/>
    <w:pPr>
      <w:suppressAutoHyphens/>
      <w:spacing w:after="160" w:line="259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5B6"/>
    <w:rPr>
      <w:color w:val="0000FF" w:themeColor="hyperlink"/>
      <w:u w:val="single"/>
    </w:rPr>
  </w:style>
  <w:style w:type="character" w:customStyle="1" w:styleId="rynqvb">
    <w:name w:val="rynqvb"/>
    <w:basedOn w:val="a0"/>
    <w:qFormat/>
    <w:rsid w:val="003645B6"/>
  </w:style>
  <w:style w:type="character" w:customStyle="1" w:styleId="xfm45998727">
    <w:name w:val="xfm_45998727"/>
    <w:qFormat/>
    <w:rsid w:val="003645B6"/>
  </w:style>
  <w:style w:type="character" w:customStyle="1" w:styleId="a4">
    <w:name w:val="Абзац списка Знак"/>
    <w:link w:val="a5"/>
    <w:uiPriority w:val="34"/>
    <w:qFormat/>
    <w:rsid w:val="003645B6"/>
  </w:style>
  <w:style w:type="paragraph" w:styleId="a6">
    <w:name w:val="Normal (Web)"/>
    <w:basedOn w:val="a"/>
    <w:qFormat/>
    <w:rsid w:val="003645B6"/>
    <w:pPr>
      <w:spacing w:beforeAutospacing="1" w:afterAutospacing="1" w:line="240" w:lineRule="auto"/>
    </w:pPr>
    <w:rPr>
      <w:rFonts w:eastAsia="Times New Roman"/>
      <w:color w:val="auto"/>
      <w:lang w:eastAsia="uk-UA"/>
    </w:rPr>
  </w:style>
  <w:style w:type="paragraph" w:styleId="a5">
    <w:name w:val="List Paragraph"/>
    <w:basedOn w:val="a"/>
    <w:link w:val="a4"/>
    <w:uiPriority w:val="34"/>
    <w:qFormat/>
    <w:rsid w:val="003645B6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714-69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o.org/agr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dnsgb.com.ua/cgibin/irbis64r/cgiirbis_64.exe?LNG=uk&amp;C21COM=F&amp;I21DBN=DNSGB&amp;P21DBN=DNSGB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lm2017@ukr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3-4714-6958" TargetMode="External"/><Relationship Id="rId9" Type="http://schemas.openxmlformats.org/officeDocument/2006/relationships/hyperlink" Target="mailto:tlm201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5761</Words>
  <Characters>3284</Characters>
  <Application>Microsoft Office Word</Application>
  <DocSecurity>0</DocSecurity>
  <Lines>27</Lines>
  <Paragraphs>18</Paragraphs>
  <ScaleCrop>false</ScaleCrop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</dc:creator>
  <cp:lastModifiedBy>konoval</cp:lastModifiedBy>
  <cp:revision>1</cp:revision>
  <dcterms:created xsi:type="dcterms:W3CDTF">2025-09-02T09:54:00Z</dcterms:created>
  <dcterms:modified xsi:type="dcterms:W3CDTF">2025-09-02T09:55:00Z</dcterms:modified>
</cp:coreProperties>
</file>