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BAA" w:rsidRPr="00B947C3" w:rsidRDefault="00F97BAA" w:rsidP="00F97BAA">
      <w:pPr>
        <w:pStyle w:val="2"/>
        <w:ind w:firstLine="0"/>
        <w:rPr>
          <w:rFonts w:ascii="Times New Roman" w:hAnsi="Times New Roman" w:cs="Times New Roman"/>
          <w:b/>
          <w:bCs/>
          <w:color w:val="auto"/>
          <w:kern w:val="2"/>
          <w:sz w:val="26"/>
          <w:lang w:eastAsia="zh-CN"/>
        </w:rPr>
      </w:pPr>
      <w:bookmarkStart w:id="0" w:name="_Toc209907018"/>
      <w:r w:rsidRPr="00B947C3">
        <w:rPr>
          <w:rFonts w:ascii="Times New Roman" w:hAnsi="Times New Roman" w:cs="Times New Roman"/>
          <w:b/>
          <w:bCs/>
          <w:color w:val="auto"/>
          <w:kern w:val="2"/>
          <w:sz w:val="26"/>
          <w:lang w:eastAsia="zh-CN"/>
        </w:rPr>
        <w:t>Григоревська Олена Вікторівна,</w:t>
      </w:r>
      <w:bookmarkEnd w:id="0"/>
    </w:p>
    <w:p w:rsidR="00F97BAA" w:rsidRPr="001979D2" w:rsidRDefault="00F97BAA" w:rsidP="00F97BAA">
      <w:pPr>
        <w:ind w:firstLine="0"/>
        <w:rPr>
          <w:bCs/>
          <w:kern w:val="2"/>
          <w:sz w:val="26"/>
          <w:szCs w:val="26"/>
          <w:lang w:eastAsia="zh-CN"/>
        </w:rPr>
      </w:pPr>
      <w:r w:rsidRPr="001979D2">
        <w:rPr>
          <w:bCs/>
          <w:kern w:val="2"/>
          <w:sz w:val="26"/>
          <w:szCs w:val="26"/>
          <w:lang w:eastAsia="zh-CN"/>
        </w:rPr>
        <w:t xml:space="preserve">ORCID: https://orcid.org/0000-0002-2099-0000, </w:t>
      </w:r>
    </w:p>
    <w:p w:rsidR="00F97BAA" w:rsidRPr="001979D2" w:rsidRDefault="00F97BAA" w:rsidP="00F97BAA">
      <w:pPr>
        <w:ind w:firstLine="0"/>
        <w:rPr>
          <w:bCs/>
          <w:kern w:val="2"/>
          <w:sz w:val="26"/>
          <w:szCs w:val="26"/>
          <w:lang w:eastAsia="zh-CN"/>
        </w:rPr>
      </w:pPr>
      <w:r w:rsidRPr="001979D2">
        <w:rPr>
          <w:bCs/>
          <w:kern w:val="2"/>
          <w:sz w:val="26"/>
          <w:szCs w:val="26"/>
          <w:lang w:eastAsia="zh-CN"/>
        </w:rPr>
        <w:t xml:space="preserve">докторка наук із соціальних комунікацій, </w:t>
      </w:r>
    </w:p>
    <w:p w:rsidR="00F97BAA" w:rsidRPr="001979D2" w:rsidRDefault="00F97BAA" w:rsidP="00F97BAA">
      <w:pPr>
        <w:ind w:firstLine="0"/>
        <w:rPr>
          <w:bCs/>
          <w:kern w:val="2"/>
          <w:sz w:val="26"/>
          <w:szCs w:val="26"/>
          <w:lang w:eastAsia="zh-CN"/>
        </w:rPr>
      </w:pPr>
      <w:r w:rsidRPr="001979D2">
        <w:rPr>
          <w:bCs/>
          <w:kern w:val="2"/>
          <w:sz w:val="26"/>
          <w:szCs w:val="26"/>
          <w:lang w:eastAsia="zh-CN"/>
        </w:rPr>
        <w:t>старша наукова співробітниця, професорка,</w:t>
      </w:r>
    </w:p>
    <w:p w:rsidR="00F97BAA" w:rsidRPr="001979D2" w:rsidRDefault="00F97BAA" w:rsidP="00F97BAA">
      <w:pPr>
        <w:ind w:firstLine="0"/>
        <w:rPr>
          <w:bCs/>
          <w:kern w:val="2"/>
          <w:sz w:val="26"/>
          <w:szCs w:val="26"/>
          <w:lang w:eastAsia="zh-CN"/>
        </w:rPr>
      </w:pPr>
      <w:r w:rsidRPr="001979D2">
        <w:rPr>
          <w:bCs/>
          <w:kern w:val="2"/>
          <w:sz w:val="26"/>
          <w:szCs w:val="26"/>
          <w:lang w:eastAsia="zh-CN"/>
        </w:rPr>
        <w:t>кафедра інформаційних комунікацій,</w:t>
      </w:r>
    </w:p>
    <w:p w:rsidR="00F97BAA" w:rsidRPr="001979D2" w:rsidRDefault="00F97BAA" w:rsidP="00F97BAA">
      <w:pPr>
        <w:ind w:firstLine="0"/>
        <w:rPr>
          <w:bCs/>
          <w:kern w:val="2"/>
          <w:sz w:val="26"/>
          <w:szCs w:val="26"/>
          <w:lang w:eastAsia="zh-CN"/>
        </w:rPr>
      </w:pPr>
      <w:r w:rsidRPr="001979D2">
        <w:rPr>
          <w:bCs/>
          <w:kern w:val="2"/>
          <w:sz w:val="26"/>
          <w:szCs w:val="26"/>
          <w:lang w:eastAsia="zh-CN"/>
        </w:rPr>
        <w:t>факультет української філології, культури і мистецтва,</w:t>
      </w:r>
    </w:p>
    <w:p w:rsidR="00F97BAA" w:rsidRPr="001979D2" w:rsidRDefault="00F97BAA" w:rsidP="00F97BAA">
      <w:pPr>
        <w:ind w:firstLine="0"/>
        <w:rPr>
          <w:bCs/>
          <w:kern w:val="2"/>
          <w:sz w:val="26"/>
          <w:szCs w:val="26"/>
          <w:lang w:eastAsia="zh-CN"/>
        </w:rPr>
      </w:pPr>
      <w:r w:rsidRPr="001979D2">
        <w:rPr>
          <w:bCs/>
          <w:kern w:val="2"/>
          <w:sz w:val="26"/>
          <w:szCs w:val="26"/>
          <w:lang w:eastAsia="zh-CN"/>
        </w:rPr>
        <w:t>Київський столичний університет імені Бориса Грінченка,</w:t>
      </w:r>
    </w:p>
    <w:p w:rsidR="00F97BAA" w:rsidRPr="001979D2" w:rsidRDefault="00F97BAA" w:rsidP="00F97BAA">
      <w:pPr>
        <w:ind w:firstLine="0"/>
        <w:rPr>
          <w:bCs/>
          <w:kern w:val="2"/>
          <w:sz w:val="26"/>
          <w:szCs w:val="26"/>
          <w:lang w:eastAsia="zh-CN"/>
        </w:rPr>
      </w:pPr>
      <w:r w:rsidRPr="001979D2">
        <w:rPr>
          <w:bCs/>
          <w:kern w:val="2"/>
          <w:sz w:val="26"/>
          <w:szCs w:val="26"/>
          <w:lang w:eastAsia="zh-CN"/>
        </w:rPr>
        <w:t>Київ, Україна,</w:t>
      </w:r>
    </w:p>
    <w:p w:rsidR="00F97BAA" w:rsidRPr="001979D2" w:rsidRDefault="00F97BAA" w:rsidP="00F97BAA">
      <w:pPr>
        <w:ind w:firstLine="0"/>
        <w:rPr>
          <w:bCs/>
          <w:kern w:val="2"/>
          <w:sz w:val="26"/>
          <w:szCs w:val="26"/>
          <w:lang w:eastAsia="zh-CN"/>
        </w:rPr>
      </w:pPr>
      <w:r w:rsidRPr="001979D2">
        <w:rPr>
          <w:bCs/>
          <w:kern w:val="2"/>
          <w:sz w:val="26"/>
          <w:szCs w:val="26"/>
          <w:lang w:eastAsia="zh-CN"/>
        </w:rPr>
        <w:t>e-mail: o.hryhorevska@kubg.edu.ua</w:t>
      </w:r>
    </w:p>
    <w:p w:rsidR="00F97BAA" w:rsidRPr="001979D2" w:rsidRDefault="00F97BAA" w:rsidP="00F97BAA">
      <w:pPr>
        <w:rPr>
          <w:bCs/>
          <w:kern w:val="2"/>
          <w:sz w:val="26"/>
          <w:szCs w:val="26"/>
          <w:lang w:eastAsia="zh-CN"/>
        </w:rPr>
      </w:pPr>
      <w:r w:rsidRPr="001979D2">
        <w:rPr>
          <w:bCs/>
          <w:kern w:val="2"/>
          <w:sz w:val="26"/>
          <w:szCs w:val="26"/>
          <w:lang w:eastAsia="zh-CN"/>
        </w:rPr>
        <w:t> </w:t>
      </w:r>
    </w:p>
    <w:p w:rsidR="00F97BAA" w:rsidRPr="001979D2" w:rsidRDefault="00F97BAA" w:rsidP="00F97BAA">
      <w:pPr>
        <w:pStyle w:val="Style58"/>
        <w:jc w:val="center"/>
        <w:outlineLvl w:val="2"/>
        <w:rPr>
          <w:b/>
          <w:sz w:val="28"/>
          <w:szCs w:val="28"/>
          <w:lang w:val="uk-UA"/>
        </w:rPr>
      </w:pPr>
      <w:bookmarkStart w:id="1" w:name="_Toc209907019"/>
      <w:r w:rsidRPr="001979D2">
        <w:rPr>
          <w:b/>
          <w:sz w:val="28"/>
          <w:szCs w:val="28"/>
          <w:lang w:val="uk-UA"/>
        </w:rPr>
        <w:t>Інституціональні характеристики вищої освіти України</w:t>
      </w:r>
      <w:r w:rsidRPr="001979D2">
        <w:rPr>
          <w:b/>
          <w:sz w:val="28"/>
          <w:szCs w:val="28"/>
          <w:lang w:val="uk-UA"/>
        </w:rPr>
        <w:br/>
        <w:t>в умовах Російсько-Української війни</w:t>
      </w:r>
      <w:bookmarkEnd w:id="1"/>
    </w:p>
    <w:p w:rsidR="00F97BAA" w:rsidRPr="001979D2" w:rsidRDefault="00F97BAA" w:rsidP="00F97BAA">
      <w:pPr>
        <w:pStyle w:val="Style58"/>
        <w:rPr>
          <w:sz w:val="28"/>
          <w:szCs w:val="28"/>
          <w:lang w:val="uk-UA"/>
        </w:rPr>
      </w:pPr>
    </w:p>
    <w:p w:rsidR="00F97BAA" w:rsidRPr="001979D2" w:rsidRDefault="00F97BAA" w:rsidP="00F97BAA">
      <w:pPr>
        <w:rPr>
          <w:bCs/>
          <w:kern w:val="2"/>
          <w:sz w:val="26"/>
          <w:szCs w:val="26"/>
          <w:lang w:eastAsia="zh-CN"/>
        </w:rPr>
      </w:pPr>
      <w:r w:rsidRPr="001979D2">
        <w:rPr>
          <w:bCs/>
          <w:kern w:val="2"/>
          <w:sz w:val="26"/>
          <w:szCs w:val="26"/>
          <w:lang w:eastAsia="zh-CN"/>
        </w:rPr>
        <w:t xml:space="preserve">Розглянуто основні показники вищої освіти України: заклади освіти, які здійснюють підготовку здобувачів за освітніми програмами вищої освіти, кількість та пріоритети вибору здобувачів вищої освіти, кадрове забезпечення вищої освіти. Особливу увагу приділено спеціальності В13 Бібліотечна, інформаційна та архівна справа. </w:t>
      </w:r>
    </w:p>
    <w:p w:rsidR="00F97BAA" w:rsidRPr="001979D2" w:rsidRDefault="00F97BAA" w:rsidP="00F97BAA">
      <w:pPr>
        <w:rPr>
          <w:bCs/>
          <w:kern w:val="2"/>
          <w:sz w:val="28"/>
          <w:szCs w:val="28"/>
          <w:lang w:eastAsia="zh-CN"/>
        </w:rPr>
      </w:pPr>
      <w:r w:rsidRPr="001979D2">
        <w:rPr>
          <w:bCs/>
          <w:i/>
          <w:iCs/>
          <w:kern w:val="2"/>
          <w:sz w:val="26"/>
          <w:szCs w:val="26"/>
          <w:lang w:eastAsia="zh-CN"/>
        </w:rPr>
        <w:t>Ключові слова:</w:t>
      </w:r>
      <w:r w:rsidRPr="001979D2">
        <w:rPr>
          <w:bCs/>
          <w:kern w:val="2"/>
          <w:sz w:val="26"/>
          <w:szCs w:val="26"/>
          <w:lang w:eastAsia="zh-CN"/>
        </w:rPr>
        <w:t xml:space="preserve"> вища освіта, освіта, здобувачі вищої освіти, цілі сталого розвитку, якість вищої освіти</w:t>
      </w:r>
      <w:r w:rsidRPr="001979D2">
        <w:rPr>
          <w:bCs/>
          <w:kern w:val="2"/>
          <w:sz w:val="28"/>
          <w:szCs w:val="28"/>
          <w:lang w:eastAsia="zh-CN"/>
        </w:rPr>
        <w:t>.</w:t>
      </w:r>
    </w:p>
    <w:p w:rsidR="00F97BAA" w:rsidRPr="001979D2" w:rsidRDefault="00F97BAA" w:rsidP="00F97BAA">
      <w:pPr>
        <w:rPr>
          <w:bCs/>
          <w:kern w:val="2"/>
          <w:sz w:val="28"/>
          <w:szCs w:val="28"/>
          <w:lang w:eastAsia="zh-CN"/>
        </w:rPr>
      </w:pPr>
      <w:r w:rsidRPr="001979D2">
        <w:rPr>
          <w:bCs/>
          <w:kern w:val="2"/>
          <w:sz w:val="28"/>
          <w:szCs w:val="28"/>
          <w:lang w:eastAsia="zh-CN"/>
        </w:rPr>
        <w:t> </w:t>
      </w:r>
    </w:p>
    <w:p w:rsidR="00F97BAA" w:rsidRPr="001979D2" w:rsidRDefault="00F97BAA" w:rsidP="00F97BAA">
      <w:pPr>
        <w:rPr>
          <w:bCs/>
          <w:kern w:val="2"/>
          <w:sz w:val="28"/>
          <w:szCs w:val="28"/>
          <w:lang w:eastAsia="zh-CN"/>
        </w:rPr>
      </w:pPr>
      <w:r w:rsidRPr="001979D2">
        <w:rPr>
          <w:bCs/>
          <w:kern w:val="2"/>
          <w:sz w:val="28"/>
          <w:szCs w:val="28"/>
          <w:lang w:eastAsia="zh-CN"/>
        </w:rPr>
        <w:t>Ключовим завданням розвитку освітнього простору України є досягнення конкурентоспроможної якості освітніх послуг, що надаються громадянам. У цьому контексті якість вищої освіти вивчається дослідниками та розбудовується освітянами-практиками як важливий складник стійкого розвитку суспільства в умовах євроінтеграції. Постійному аналізу підлягають інституціональні характеристики освітнього простору, можливості його збереження та якісної трансформації в умовах воєнного стану.</w:t>
      </w:r>
    </w:p>
    <w:p w:rsidR="00F97BAA" w:rsidRPr="001979D2" w:rsidRDefault="00F97BAA" w:rsidP="00F97BAA">
      <w:pPr>
        <w:rPr>
          <w:bCs/>
          <w:kern w:val="2"/>
          <w:sz w:val="28"/>
          <w:szCs w:val="28"/>
          <w:lang w:eastAsia="zh-CN"/>
        </w:rPr>
      </w:pPr>
      <w:r w:rsidRPr="001979D2">
        <w:rPr>
          <w:bCs/>
          <w:kern w:val="2"/>
          <w:sz w:val="28"/>
          <w:szCs w:val="28"/>
          <w:lang w:eastAsia="zh-CN"/>
        </w:rPr>
        <w:t>У даній публікації інституціональний складник забезпечення вищої освіти характеризується через кількісні показники – заклади освіти, які здійснюють підготовку здобувачів за освітніми програмами вищої освіти, кількість та пріоритети вибору здобувачів вищої освіти, кадрове забезпечення вищої освіти. В основу аналізу інституційного складника вищої освіти України покладено статистичні відомості, представлені у «Доповіді про якість вищої освіти в Україні, її відповідність завданням сталого інноваційного розвитку суспільства у 2024 році» (Київ, 2025). Як зазначено у доповіді, за даними Єдиної державної бази з питань освіти (далі – ЄДЕБО) станом на 01 січня 2025 р. в Україні налічувалося 625 закладів освіти (з них 114 є відокремленими структурними підрозділами), які здійснюють підготовку здобувачів за освітніми програмами трьох рівнів вищої освіти (бакалаврського, магістерського, освітньо-наукового / освітньо-творчого рівня) або продовжують підготовку здобувачів за освітньо-кваліфікаційним рівнем спеціаліст.</w:t>
      </w:r>
    </w:p>
    <w:p w:rsidR="00F97BAA" w:rsidRPr="001979D2" w:rsidRDefault="00F97BAA" w:rsidP="00F97BAA">
      <w:pPr>
        <w:rPr>
          <w:bCs/>
          <w:kern w:val="2"/>
          <w:sz w:val="28"/>
          <w:szCs w:val="28"/>
          <w:lang w:eastAsia="zh-CN"/>
        </w:rPr>
      </w:pPr>
      <w:r w:rsidRPr="001979D2">
        <w:rPr>
          <w:bCs/>
          <w:kern w:val="2"/>
          <w:sz w:val="28"/>
          <w:szCs w:val="28"/>
          <w:lang w:eastAsia="zh-CN"/>
        </w:rPr>
        <w:t xml:space="preserve">За формами власності зазначені 625 закладів освіти розподіляються так: 434 заклади мають державну форму власності; 40 – комунальну; 151 заклад – </w:t>
      </w:r>
      <w:r w:rsidRPr="001979D2">
        <w:rPr>
          <w:bCs/>
          <w:kern w:val="2"/>
          <w:sz w:val="28"/>
          <w:szCs w:val="28"/>
          <w:lang w:eastAsia="zh-CN"/>
        </w:rPr>
        <w:lastRenderedPageBreak/>
        <w:t xml:space="preserve">приватну. За категоріями заклади освіти, що реалізують освітні програми у сфері вищої освіти, розподіляються так: 390 – заклади вищої освіти; 50 – заклади фахової передвищої освіти; 185 – наукові інститути (установи). </w:t>
      </w:r>
    </w:p>
    <w:p w:rsidR="00F97BAA" w:rsidRPr="001979D2" w:rsidRDefault="00F97BAA" w:rsidP="00F97BAA">
      <w:pPr>
        <w:rPr>
          <w:bCs/>
          <w:kern w:val="2"/>
          <w:sz w:val="28"/>
          <w:szCs w:val="28"/>
          <w:lang w:eastAsia="zh-CN"/>
        </w:rPr>
      </w:pPr>
      <w:r w:rsidRPr="001979D2">
        <w:rPr>
          <w:bCs/>
          <w:kern w:val="2"/>
          <w:sz w:val="28"/>
          <w:szCs w:val="28"/>
          <w:lang w:eastAsia="zh-CN"/>
        </w:rPr>
        <w:t xml:space="preserve">Стосовно здобувачів вищої освіти акцентуємо увагу на двох показниках – формах здобуття освіти та пріоритетних спеціальностях. На 01 січня 2025 р. за даними ЄДЕБО в Україні навчалося 1 074 626 здобувачів вищої освіти. </w:t>
      </w:r>
    </w:p>
    <w:p w:rsidR="00F97BAA" w:rsidRPr="001979D2" w:rsidRDefault="00F97BAA" w:rsidP="00F97BAA">
      <w:pPr>
        <w:rPr>
          <w:bCs/>
          <w:kern w:val="2"/>
          <w:sz w:val="28"/>
          <w:szCs w:val="28"/>
          <w:lang w:eastAsia="zh-CN"/>
        </w:rPr>
      </w:pPr>
      <w:r w:rsidRPr="001979D2">
        <w:rPr>
          <w:bCs/>
          <w:kern w:val="2"/>
          <w:sz w:val="28"/>
          <w:szCs w:val="28"/>
          <w:lang w:eastAsia="zh-CN"/>
        </w:rPr>
        <w:t xml:space="preserve">За рахунок видатків державного або місцевого бюджету навчалися майже 35 % здобувачів; за рахунок коштів фізичних та / або юридичних осіб навчалися 65 % здобувачів. Окремі здобувачі освіти навчаються за альтернативними джерелами фінансування – ваучерами або пільговими довгостроковими кредитами. За формами навчання переважна кількість здобувачів – 77,7 % навчається за денною формою; 21,7 % осіб обрали заочну форму навчання. Інші форми здобуття вищої освіти (вечірня, дистанційна, поза аспірантурою) у відсотковому значенні є малочисельними. </w:t>
      </w:r>
    </w:p>
    <w:p w:rsidR="00F97BAA" w:rsidRPr="001979D2" w:rsidRDefault="00F97BAA" w:rsidP="00F97BAA">
      <w:pPr>
        <w:rPr>
          <w:bCs/>
          <w:kern w:val="2"/>
          <w:sz w:val="28"/>
          <w:szCs w:val="28"/>
          <w:lang w:eastAsia="zh-CN"/>
        </w:rPr>
      </w:pPr>
      <w:r w:rsidRPr="001979D2">
        <w:rPr>
          <w:bCs/>
          <w:kern w:val="2"/>
          <w:sz w:val="28"/>
          <w:szCs w:val="28"/>
          <w:lang w:eastAsia="zh-CN"/>
        </w:rPr>
        <w:t>Найбільша кількість осіб здобувають вищу освіту за такими спеціальностями: 081 Право – 7 % від загальної кількості здобувачів; 073 Менеджмент – 5,84 %; 053 Психологія – 5,51 %; 014 Середня освіта (за предметними спеціальностями) – 4,85 %; 112 Комп’ютерні науки – 3,45 %. У 2024 р. на 5-й позиції була спеціальність 222 Медицина – 3,55 %.</w:t>
      </w:r>
    </w:p>
    <w:p w:rsidR="00F97BAA" w:rsidRPr="001979D2" w:rsidRDefault="00F97BAA" w:rsidP="00F97BAA">
      <w:pPr>
        <w:rPr>
          <w:bCs/>
          <w:kern w:val="2"/>
          <w:sz w:val="28"/>
          <w:szCs w:val="28"/>
          <w:lang w:eastAsia="zh-CN"/>
        </w:rPr>
      </w:pPr>
      <w:r w:rsidRPr="001979D2">
        <w:rPr>
          <w:bCs/>
          <w:kern w:val="2"/>
          <w:sz w:val="28"/>
          <w:szCs w:val="28"/>
          <w:lang w:eastAsia="zh-CN"/>
        </w:rPr>
        <w:t>Викладацький склад закладів вищої освіти на основі даних ЄДЕБО характеризується з використанням 105 984 унікальних записів щодо науково-педагогічних, педагогічних та наукових працівників, що здійснюють викладацьку діяльність. Серед таких викладачів переважають жінки – 57,3 %, частка чоловіків становить 42,7 %. Особи з науковим ступенем розподіляються таким чином: 80,4 % мають науковий ступінь, зокрема 15,8 % мають ступінь доктора наук, 64,6 % – кандидата наук чи доктора філософії.</w:t>
      </w:r>
    </w:p>
    <w:p w:rsidR="00F97BAA" w:rsidRPr="001979D2" w:rsidRDefault="00F97BAA" w:rsidP="00F97BAA">
      <w:pPr>
        <w:rPr>
          <w:bCs/>
          <w:kern w:val="2"/>
          <w:sz w:val="28"/>
          <w:szCs w:val="28"/>
          <w:lang w:eastAsia="zh-CN"/>
        </w:rPr>
      </w:pPr>
      <w:r w:rsidRPr="001979D2">
        <w:rPr>
          <w:bCs/>
          <w:kern w:val="2"/>
          <w:sz w:val="28"/>
          <w:szCs w:val="28"/>
          <w:lang w:eastAsia="zh-CN"/>
        </w:rPr>
        <w:t>Варто зазначити, що із прийняттям Кабінетом Міністрів України 21 лютого 2025 р. постанови № 188 «Про внесення змін до переліку галузей знань і спеціальностей, за якими здійснюється підготовка здобувачів вищої та фахової передвищої освіти» відбулися зміни у шифрах і найменуваннях галузей знань, кодах і найменуваннях спеціальностей. Отже, якщо у період 2016–2024 рр. спеціальність 029 «Інформаційна, бібліотечна та архівна справа», за якою на усіх рівнях вищої та фахової передвищої освіти готували фахівців для бібліотечно-інформаційної сфери діяльності, відносилася до галузі знань 02 «Культура і мистецтво», з 2025 р. нова галузь В «Культура, мистецтво та гуманітарні науки» об’єднує 14 спеціальностей, у тому числі В11 «Філологія (за спеціалізаціями)» та В13 «Бібліотечна, інформаційна та архівна справа».</w:t>
      </w:r>
    </w:p>
    <w:p w:rsidR="00F97BAA" w:rsidRPr="001979D2" w:rsidRDefault="00F97BAA" w:rsidP="00F97BAA">
      <w:pPr>
        <w:rPr>
          <w:bCs/>
          <w:kern w:val="2"/>
          <w:sz w:val="28"/>
          <w:szCs w:val="28"/>
          <w:lang w:eastAsia="zh-CN"/>
        </w:rPr>
      </w:pPr>
      <w:r w:rsidRPr="001979D2">
        <w:rPr>
          <w:bCs/>
          <w:kern w:val="2"/>
          <w:sz w:val="28"/>
          <w:szCs w:val="28"/>
          <w:lang w:eastAsia="zh-CN"/>
        </w:rPr>
        <w:t>Як видно з попереднього аналізу пріоритетів вибору здобувачів за спеціальностями, спеціальності галузі В «Культура, мистецтво та гуманітарні науки» не потрапляють до п’ятірки пріоритетів вибору здобувачів, але мають свого стабільного вступника. Якщо аналізувати рейтинг пріоритетів вибору здобувачів окремо за рівнями освіти, то на першому (бакалаврському) рівні на п’ятій сходинці рейтингу знаходиться спеціальність 035 «Філологія» (4,13 %), яка у загальному рейтингу початку 2025 р. посідає шосте місце.</w:t>
      </w:r>
    </w:p>
    <w:p w:rsidR="00F97BAA" w:rsidRPr="001979D2" w:rsidRDefault="00F97BAA" w:rsidP="00F97BAA">
      <w:pPr>
        <w:rPr>
          <w:bCs/>
          <w:kern w:val="2"/>
          <w:sz w:val="28"/>
          <w:szCs w:val="28"/>
          <w:lang w:eastAsia="zh-CN"/>
        </w:rPr>
      </w:pPr>
      <w:r w:rsidRPr="001979D2">
        <w:rPr>
          <w:bCs/>
          <w:kern w:val="2"/>
          <w:sz w:val="28"/>
          <w:szCs w:val="28"/>
          <w:lang w:eastAsia="zh-CN"/>
        </w:rPr>
        <w:t xml:space="preserve">За даними загальнодержавної системи Вступ.ОСВІТА.UA. під час літньої вступної кампанії 2025 р. українські заклади освіти пропонують широкий вибір освітніх програм (далі – ОП) для спеціальності В13 «Бібліотечна, інформаційна та архівна справа». </w:t>
      </w:r>
    </w:p>
    <w:p w:rsidR="00F97BAA" w:rsidRPr="001979D2" w:rsidRDefault="00F97BAA" w:rsidP="00F97BAA">
      <w:pPr>
        <w:rPr>
          <w:bCs/>
          <w:kern w:val="2"/>
          <w:sz w:val="28"/>
          <w:szCs w:val="28"/>
          <w:lang w:eastAsia="zh-CN"/>
        </w:rPr>
      </w:pPr>
      <w:r w:rsidRPr="001979D2">
        <w:rPr>
          <w:bCs/>
          <w:kern w:val="2"/>
          <w:sz w:val="28"/>
          <w:szCs w:val="28"/>
          <w:lang w:eastAsia="zh-CN"/>
        </w:rPr>
        <w:t>Зокрема маємо 88 пропозицій ОП фахової передвищої освіти, але варто враховувати, що програми із місцями державного замовлення та небюджетні місця в системі представлено окремо. Лідерами за кількістю поданих заяв визначено Дніпропетровський транспортно-економічний фаховий коледж (ОП «Інформаційна та архівна справа», 78 заяв), Відокремлений структурний підрозділ «Фаховий коледж економіки і технологій Державного університету економіки і технологій» (ОП «Інформаційна, бібліотечна та архівна справа», 62 заяви), Володимирський педагогічний фаховий коледж імені Агатангела Кримського Волинської обласної ради (ОП «Обробка інформації», 61 заява).</w:t>
      </w:r>
    </w:p>
    <w:p w:rsidR="00F97BAA" w:rsidRPr="001979D2" w:rsidRDefault="00F97BAA" w:rsidP="00F97BAA">
      <w:pPr>
        <w:rPr>
          <w:bCs/>
          <w:kern w:val="2"/>
          <w:sz w:val="28"/>
          <w:szCs w:val="28"/>
          <w:lang w:eastAsia="zh-CN"/>
        </w:rPr>
      </w:pPr>
      <w:r w:rsidRPr="001979D2">
        <w:rPr>
          <w:bCs/>
          <w:kern w:val="2"/>
          <w:sz w:val="28"/>
          <w:szCs w:val="28"/>
          <w:lang w:eastAsia="zh-CN"/>
        </w:rPr>
        <w:t>Вступникам на перший (бакалаврський) рівень вищої освіти заклади освіти пропонують 55 програм. Наведемо приклади із найбільшими показниками щодо поданих заяв та найвищим показником конкурсу (співвідношення місць ліцензійного обсягу та поданих заяв). Отже, за кількістю зареєстрованих у системі ЄДЕБО заяв, які відображаються в системі Вступ.ОСВІТА.UA, лідирують три університети – Київський національний університет культури і мистецтв, ОП «Інформаційна аналітика» (146 заяв, ліцензійний обсяг 80 місць, конкурс 1,82); Національний університет «Львівська політехніка», ОП «Інформаційна, бібліотечна, архівна та книжкова справа» (142 заяви, ліцензійний обсяг 70 місць, конкурс 2,03); Національний лісотехнічний університет України, ОП «Інформаційна діяльність» (114 заяв, ліцензійний обсяг 100 місць, конкурс 1,14). Проте, якщо будувати рейтинг закладів вищої освіти за показником конкурсу, картина буде дещо інша. Трійка лідерів бакалаврських освітніх програм розподіляється так: Львівський національний університет імені Івана Франка, ОП «Інформаційна діяльність, бібліотечна та архівна справа» (конкурс 2,77; 83 заяви, ліцензійний обсяг 30 місць); Національний університет «Одеська політехніка», ОП «Інформаційна діяльність» (конкурс 2,5; 30 заяв, ліцензійний обсяг 12 місць); Західноукраїнський національний університет, ОП «Документознавство та інформаційна діяльність» (конкурс 2,47; 74 заяви, ліцензійний обсяг 30 місць).</w:t>
      </w:r>
    </w:p>
    <w:p w:rsidR="00F97BAA" w:rsidRPr="001979D2" w:rsidRDefault="00F97BAA" w:rsidP="00F97BAA">
      <w:pPr>
        <w:rPr>
          <w:bCs/>
          <w:kern w:val="2"/>
          <w:sz w:val="28"/>
          <w:szCs w:val="28"/>
          <w:lang w:eastAsia="zh-CN"/>
        </w:rPr>
      </w:pPr>
      <w:r w:rsidRPr="001979D2">
        <w:rPr>
          <w:bCs/>
          <w:kern w:val="2"/>
          <w:sz w:val="28"/>
          <w:szCs w:val="28"/>
          <w:lang w:eastAsia="zh-CN"/>
        </w:rPr>
        <w:t xml:space="preserve">Здобувачам другого (магістерського) освітнього рівня пропонується для вступу 37 освітніх програм. На момент аналізу даних прийом заяв на ці програми лише розпочався і оцінити результат буде можливо лише на момент проведення конференції у жовтні 2025 р. Можемо лише зазначити, що попри воєнний стан, виїзд певної частини вступників закордон, трансформації освітньої системи в аспектах зміни структури і змісту вступних випробувань для майбутніх магістрів (з 2025 р. обов’язковим є проходження єдиного фахового вступного випробування – предметного тесту з історії мистецтва), університети із традиційно сильними фаховими програмами вже мають свого вступника. Понад п’ять заяв на момент аналізу вже мали Донецький національний університет імені Василя Стуса, Державний університет інформаційно-комунікаційних технологій, Національний університет «Полтавська політехніка імені Юрія Кондратюка», Київський столичний університет імені Бориса Грінченка, Харківська державна академія культури, Національний транспортний університет, Таврійський національний університет імені В. І. Вернадського та ін. </w:t>
      </w:r>
    </w:p>
    <w:p w:rsidR="00F97BAA" w:rsidRPr="001979D2" w:rsidRDefault="00F97BAA" w:rsidP="00F97BAA">
      <w:pPr>
        <w:rPr>
          <w:bCs/>
          <w:kern w:val="2"/>
          <w:sz w:val="28"/>
          <w:szCs w:val="28"/>
          <w:lang w:eastAsia="zh-CN"/>
        </w:rPr>
      </w:pPr>
      <w:r w:rsidRPr="001979D2">
        <w:rPr>
          <w:bCs/>
          <w:kern w:val="2"/>
          <w:sz w:val="28"/>
          <w:szCs w:val="28"/>
          <w:lang w:eastAsia="zh-CN"/>
        </w:rPr>
        <w:t>Випускники спеціальності В13 «Бібліотечна, інформаційна та архівна справа» є вкрай важливими для відновлення бібліотечних та архівних колекцій, що постраждали під час воєнних дій, молоді фахівці вже сьогодні затребувані для оцифрування документальної спадщини, ведення дистанційного обслуговування та інших високотехнологічних робіт.</w:t>
      </w:r>
    </w:p>
    <w:p w:rsidR="00F97BAA" w:rsidRPr="001979D2" w:rsidRDefault="00F97BAA" w:rsidP="00F97BAA">
      <w:pPr>
        <w:rPr>
          <w:bCs/>
          <w:kern w:val="2"/>
          <w:sz w:val="28"/>
          <w:szCs w:val="28"/>
          <w:lang w:eastAsia="zh-CN"/>
        </w:rPr>
      </w:pPr>
      <w:r w:rsidRPr="001979D2">
        <w:rPr>
          <w:bCs/>
          <w:kern w:val="2"/>
          <w:sz w:val="28"/>
          <w:szCs w:val="28"/>
          <w:lang w:eastAsia="zh-CN"/>
        </w:rPr>
        <w:t xml:space="preserve">Сподіваємося, що попри демографічні виклики, складні умови воєнного часу, в яких перебуває частина закладів вищої освіти України, вимушені переміщення здобувачів та науково-педагогічних працівників, велику кількість європейських пропозицій програм вищої освіти для українських вступників ми збережемо інтелектуальний потенціал українського суспільства. </w:t>
      </w:r>
    </w:p>
    <w:p w:rsidR="00F97BAA" w:rsidRPr="001979D2" w:rsidRDefault="00F97BAA" w:rsidP="00F97BAA">
      <w:pPr>
        <w:rPr>
          <w:bCs/>
          <w:kern w:val="2"/>
          <w:sz w:val="28"/>
          <w:szCs w:val="28"/>
          <w:lang w:eastAsia="zh-CN"/>
        </w:rPr>
      </w:pPr>
      <w:r w:rsidRPr="001979D2">
        <w:rPr>
          <w:bCs/>
          <w:kern w:val="2"/>
          <w:sz w:val="28"/>
          <w:szCs w:val="28"/>
          <w:lang w:eastAsia="zh-CN"/>
        </w:rPr>
        <w:t> </w:t>
      </w:r>
    </w:p>
    <w:p w:rsidR="00F97BAA" w:rsidRPr="001979D2" w:rsidRDefault="00F97BAA" w:rsidP="00F97BAA">
      <w:pPr>
        <w:ind w:firstLine="0"/>
        <w:rPr>
          <w:bCs/>
          <w:kern w:val="2"/>
          <w:sz w:val="26"/>
          <w:szCs w:val="26"/>
          <w:lang w:eastAsia="zh-CN"/>
        </w:rPr>
      </w:pPr>
      <w:r w:rsidRPr="001979D2">
        <w:rPr>
          <w:b/>
          <w:kern w:val="2"/>
          <w:sz w:val="26"/>
          <w:szCs w:val="26"/>
          <w:lang w:eastAsia="zh-CN"/>
        </w:rPr>
        <w:t>Olena Hryhorevska</w:t>
      </w:r>
      <w:r w:rsidRPr="001979D2">
        <w:rPr>
          <w:bCs/>
          <w:kern w:val="2"/>
          <w:sz w:val="26"/>
          <w:szCs w:val="26"/>
          <w:lang w:eastAsia="zh-CN"/>
        </w:rPr>
        <w:t>,</w:t>
      </w:r>
    </w:p>
    <w:p w:rsidR="00F97BAA" w:rsidRPr="001979D2" w:rsidRDefault="00F97BAA" w:rsidP="00F97BAA">
      <w:pPr>
        <w:ind w:firstLine="0"/>
        <w:rPr>
          <w:bCs/>
          <w:kern w:val="2"/>
          <w:sz w:val="26"/>
          <w:szCs w:val="26"/>
          <w:lang w:eastAsia="zh-CN"/>
        </w:rPr>
      </w:pPr>
      <w:r w:rsidRPr="001979D2">
        <w:rPr>
          <w:bCs/>
          <w:kern w:val="2"/>
          <w:sz w:val="26"/>
          <w:szCs w:val="26"/>
          <w:lang w:eastAsia="zh-CN"/>
        </w:rPr>
        <w:t xml:space="preserve">ORCID: https://orcid.org/0000-0002-2099-0000, </w:t>
      </w:r>
    </w:p>
    <w:p w:rsidR="00F97BAA" w:rsidRPr="001979D2" w:rsidRDefault="00F97BAA" w:rsidP="00F97BAA">
      <w:pPr>
        <w:ind w:firstLine="0"/>
        <w:rPr>
          <w:bCs/>
          <w:kern w:val="2"/>
          <w:sz w:val="26"/>
          <w:szCs w:val="26"/>
          <w:lang w:eastAsia="zh-CN"/>
        </w:rPr>
      </w:pPr>
      <w:r w:rsidRPr="001979D2">
        <w:rPr>
          <w:bCs/>
          <w:kern w:val="2"/>
          <w:sz w:val="26"/>
          <w:szCs w:val="26"/>
          <w:lang w:eastAsia="zh-CN"/>
        </w:rPr>
        <w:t xml:space="preserve">Doctor of Science in Social Communications, </w:t>
      </w:r>
    </w:p>
    <w:p w:rsidR="00F97BAA" w:rsidRPr="001979D2" w:rsidRDefault="00F97BAA" w:rsidP="00F97BAA">
      <w:pPr>
        <w:ind w:firstLine="0"/>
        <w:rPr>
          <w:bCs/>
          <w:kern w:val="2"/>
          <w:sz w:val="26"/>
          <w:szCs w:val="26"/>
          <w:lang w:eastAsia="zh-CN"/>
        </w:rPr>
      </w:pPr>
      <w:r w:rsidRPr="001979D2">
        <w:rPr>
          <w:bCs/>
          <w:kern w:val="2"/>
          <w:sz w:val="26"/>
          <w:szCs w:val="26"/>
          <w:lang w:eastAsia="zh-CN"/>
        </w:rPr>
        <w:t>Senior Researcher, Professor,</w:t>
      </w:r>
    </w:p>
    <w:p w:rsidR="00F97BAA" w:rsidRPr="001979D2" w:rsidRDefault="00F97BAA" w:rsidP="00F97BAA">
      <w:pPr>
        <w:ind w:firstLine="0"/>
        <w:rPr>
          <w:bCs/>
          <w:kern w:val="2"/>
          <w:sz w:val="26"/>
          <w:szCs w:val="26"/>
          <w:lang w:eastAsia="zh-CN"/>
        </w:rPr>
      </w:pPr>
      <w:r w:rsidRPr="001979D2">
        <w:rPr>
          <w:bCs/>
          <w:kern w:val="2"/>
          <w:sz w:val="26"/>
          <w:szCs w:val="26"/>
          <w:lang w:eastAsia="zh-CN"/>
        </w:rPr>
        <w:t xml:space="preserve">Deprtment of Information Communications, </w:t>
      </w:r>
    </w:p>
    <w:p w:rsidR="00F97BAA" w:rsidRPr="001979D2" w:rsidRDefault="00F97BAA" w:rsidP="00F97BAA">
      <w:pPr>
        <w:ind w:firstLine="0"/>
        <w:rPr>
          <w:bCs/>
          <w:kern w:val="2"/>
          <w:sz w:val="26"/>
          <w:szCs w:val="26"/>
          <w:lang w:eastAsia="zh-CN"/>
        </w:rPr>
      </w:pPr>
      <w:r w:rsidRPr="001979D2">
        <w:rPr>
          <w:bCs/>
          <w:kern w:val="2"/>
          <w:sz w:val="26"/>
          <w:szCs w:val="26"/>
          <w:lang w:eastAsia="zh-CN"/>
        </w:rPr>
        <w:t>Faculty of Ukrainian Philology, Culture and Arts,</w:t>
      </w:r>
    </w:p>
    <w:p w:rsidR="00F97BAA" w:rsidRPr="001979D2" w:rsidRDefault="00F97BAA" w:rsidP="00F97BAA">
      <w:pPr>
        <w:ind w:firstLine="0"/>
        <w:rPr>
          <w:bCs/>
          <w:kern w:val="2"/>
          <w:sz w:val="26"/>
          <w:szCs w:val="26"/>
          <w:lang w:eastAsia="zh-CN"/>
        </w:rPr>
      </w:pPr>
      <w:r w:rsidRPr="001979D2">
        <w:rPr>
          <w:bCs/>
          <w:kern w:val="2"/>
          <w:sz w:val="26"/>
          <w:szCs w:val="26"/>
          <w:lang w:eastAsia="zh-CN"/>
        </w:rPr>
        <w:t>Borys Grinchenko Kyiv Metropolitan University,</w:t>
      </w:r>
    </w:p>
    <w:p w:rsidR="00F97BAA" w:rsidRPr="001979D2" w:rsidRDefault="00F97BAA" w:rsidP="00F97BAA">
      <w:pPr>
        <w:ind w:firstLine="0"/>
        <w:rPr>
          <w:bCs/>
          <w:kern w:val="2"/>
          <w:sz w:val="26"/>
          <w:szCs w:val="26"/>
          <w:lang w:eastAsia="zh-CN"/>
        </w:rPr>
      </w:pPr>
      <w:r w:rsidRPr="001979D2">
        <w:rPr>
          <w:bCs/>
          <w:kern w:val="2"/>
          <w:sz w:val="26"/>
          <w:szCs w:val="26"/>
          <w:lang w:eastAsia="zh-CN"/>
        </w:rPr>
        <w:t>Kyiv, Ukraine</w:t>
      </w:r>
    </w:p>
    <w:p w:rsidR="00F97BAA" w:rsidRPr="001979D2" w:rsidRDefault="00F97BAA" w:rsidP="00F97BAA">
      <w:pPr>
        <w:ind w:firstLine="0"/>
        <w:rPr>
          <w:bCs/>
          <w:kern w:val="2"/>
          <w:sz w:val="26"/>
          <w:szCs w:val="26"/>
          <w:lang w:eastAsia="zh-CN"/>
        </w:rPr>
      </w:pPr>
      <w:r w:rsidRPr="001979D2">
        <w:rPr>
          <w:bCs/>
          <w:kern w:val="2"/>
          <w:sz w:val="26"/>
          <w:szCs w:val="26"/>
          <w:lang w:eastAsia="zh-CN"/>
        </w:rPr>
        <w:t>e-mail: o.hryhorevska@kubg.edu.ua</w:t>
      </w:r>
    </w:p>
    <w:p w:rsidR="00F97BAA" w:rsidRPr="001979D2" w:rsidRDefault="00F97BAA" w:rsidP="00F97BAA">
      <w:pPr>
        <w:rPr>
          <w:bCs/>
          <w:kern w:val="2"/>
          <w:sz w:val="28"/>
          <w:szCs w:val="28"/>
          <w:lang w:eastAsia="zh-CN"/>
        </w:rPr>
      </w:pPr>
      <w:r w:rsidRPr="001979D2">
        <w:rPr>
          <w:bCs/>
          <w:kern w:val="2"/>
          <w:sz w:val="28"/>
          <w:szCs w:val="28"/>
          <w:lang w:eastAsia="zh-CN"/>
        </w:rPr>
        <w:t> </w:t>
      </w:r>
    </w:p>
    <w:p w:rsidR="00F97BAA" w:rsidRPr="001979D2" w:rsidRDefault="00F97BAA" w:rsidP="00F97BAA">
      <w:pPr>
        <w:jc w:val="center"/>
        <w:rPr>
          <w:b/>
          <w:sz w:val="28"/>
          <w:szCs w:val="28"/>
        </w:rPr>
      </w:pPr>
      <w:r w:rsidRPr="001979D2">
        <w:rPr>
          <w:b/>
          <w:sz w:val="28"/>
          <w:szCs w:val="28"/>
        </w:rPr>
        <w:t>Institutional Characteristics of Higher Education in Ukraine</w:t>
      </w:r>
      <w:r w:rsidRPr="001979D2">
        <w:rPr>
          <w:b/>
          <w:sz w:val="28"/>
          <w:szCs w:val="28"/>
        </w:rPr>
        <w:br/>
        <w:t>in The Context of the Russian-Ukrainian War</w:t>
      </w:r>
    </w:p>
    <w:p w:rsidR="00F97BAA" w:rsidRPr="001979D2" w:rsidRDefault="00F97BAA" w:rsidP="00F97BAA">
      <w:pPr>
        <w:jc w:val="center"/>
        <w:rPr>
          <w:b/>
          <w:kern w:val="2"/>
          <w:sz w:val="28"/>
          <w:szCs w:val="28"/>
          <w:lang w:eastAsia="zh-CN"/>
        </w:rPr>
      </w:pPr>
    </w:p>
    <w:p w:rsidR="00F97BAA" w:rsidRPr="001979D2" w:rsidRDefault="00F97BAA" w:rsidP="00F97BAA">
      <w:pPr>
        <w:rPr>
          <w:bCs/>
          <w:kern w:val="2"/>
          <w:sz w:val="26"/>
          <w:szCs w:val="26"/>
          <w:lang w:eastAsia="zh-CN"/>
        </w:rPr>
      </w:pPr>
      <w:r w:rsidRPr="001979D2">
        <w:rPr>
          <w:bCs/>
          <w:kern w:val="2"/>
          <w:sz w:val="26"/>
          <w:szCs w:val="26"/>
          <w:lang w:eastAsia="zh-CN"/>
        </w:rPr>
        <w:t>The main indicators of higher education in Ukraine are considered: educational institutions that train applicants under higher education programmers, the number and priorities of higher education applicants, and staffing of higher education. Particular attention is paid to the B13 Library, Information and Archival Studies specialty.</w:t>
      </w:r>
    </w:p>
    <w:p w:rsidR="00F97BAA" w:rsidRPr="001979D2" w:rsidRDefault="00F97BAA" w:rsidP="00F97BAA">
      <w:pPr>
        <w:rPr>
          <w:bCs/>
          <w:kern w:val="2"/>
          <w:sz w:val="26"/>
          <w:szCs w:val="26"/>
          <w:lang w:eastAsia="zh-CN"/>
        </w:rPr>
      </w:pPr>
      <w:r w:rsidRPr="001979D2">
        <w:rPr>
          <w:bCs/>
          <w:i/>
          <w:iCs/>
          <w:kern w:val="2"/>
          <w:sz w:val="26"/>
          <w:szCs w:val="26"/>
          <w:lang w:eastAsia="zh-CN"/>
        </w:rPr>
        <w:t xml:space="preserve">Keywords: </w:t>
      </w:r>
      <w:r w:rsidRPr="001979D2">
        <w:rPr>
          <w:bCs/>
          <w:kern w:val="2"/>
          <w:sz w:val="26"/>
          <w:szCs w:val="26"/>
          <w:lang w:eastAsia="zh-CN"/>
        </w:rPr>
        <w:t>higher education, education, higher education seekers, sustainable development goals, quality of higher education.</w:t>
      </w:r>
    </w:p>
    <w:p w:rsidR="0080718D" w:rsidRDefault="0080718D">
      <w:bookmarkStart w:id="2" w:name="_GoBack"/>
      <w:bookmarkEnd w:id="2"/>
    </w:p>
    <w:sectPr w:rsidR="00807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A7A"/>
    <w:rsid w:val="006D5A7A"/>
    <w:rsid w:val="0080718D"/>
    <w:rsid w:val="00F97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EA0D4-52D4-4E07-8170-018310D0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BAA"/>
    <w:pPr>
      <w:spacing w:after="0" w:line="240" w:lineRule="auto"/>
      <w:ind w:firstLine="567"/>
      <w:jc w:val="both"/>
    </w:pPr>
    <w:rPr>
      <w:rFonts w:ascii="Times New Roman" w:eastAsia="Times New Roman" w:hAnsi="Times New Roman" w:cs="Times New Roman"/>
      <w:lang w:val="uk-UA"/>
    </w:rPr>
  </w:style>
  <w:style w:type="paragraph" w:styleId="2">
    <w:name w:val="heading 2"/>
    <w:basedOn w:val="a"/>
    <w:next w:val="a"/>
    <w:link w:val="20"/>
    <w:uiPriority w:val="9"/>
    <w:unhideWhenUsed/>
    <w:qFormat/>
    <w:rsid w:val="00F97BA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7BAA"/>
    <w:rPr>
      <w:rFonts w:asciiTheme="majorHAnsi" w:eastAsiaTheme="majorEastAsia" w:hAnsiTheme="majorHAnsi" w:cstheme="majorBidi"/>
      <w:color w:val="2E74B5" w:themeColor="accent1" w:themeShade="BF"/>
      <w:sz w:val="32"/>
      <w:szCs w:val="32"/>
      <w:lang w:val="uk-UA"/>
    </w:rPr>
  </w:style>
  <w:style w:type="paragraph" w:customStyle="1" w:styleId="Style58">
    <w:name w:val="Style58"/>
    <w:qFormat/>
    <w:rsid w:val="00F97BAA"/>
    <w:pPr>
      <w:widowControl w:val="0"/>
      <w:spacing w:after="0" w:line="240" w:lineRule="auto"/>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9051</Characters>
  <Application>Microsoft Office Word</Application>
  <DocSecurity>0</DocSecurity>
  <Lines>75</Lines>
  <Paragraphs>21</Paragraphs>
  <ScaleCrop>false</ScaleCrop>
  <Company/>
  <LinksUpToDate>false</LinksUpToDate>
  <CharactersWithSpaces>10617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2025-09-29T17:22:00Z</dcterms:created>
  <dcterms:modified xsi:type="dcterms:W3CDTF">2025-09-29T17:22:00Z</dcterms:modified>
</cp:coreProperties>
</file>