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6C3" w:rsidRPr="001979D2" w:rsidRDefault="003246C3" w:rsidP="003246C3">
      <w:pPr>
        <w:pStyle w:val="Style58"/>
        <w:outlineLvl w:val="1"/>
        <w:rPr>
          <w:b/>
          <w:sz w:val="26"/>
          <w:szCs w:val="26"/>
          <w:lang w:val="uk-UA"/>
        </w:rPr>
      </w:pPr>
      <w:bookmarkStart w:id="0" w:name="_Toc209907025"/>
      <w:r w:rsidRPr="001979D2">
        <w:rPr>
          <w:b/>
          <w:sz w:val="26"/>
          <w:szCs w:val="26"/>
          <w:lang w:val="uk-UA"/>
        </w:rPr>
        <w:t>Лопата Олена Михайлівна,</w:t>
      </w:r>
      <w:bookmarkEnd w:id="0"/>
    </w:p>
    <w:p w:rsidR="003246C3" w:rsidRPr="001979D2" w:rsidRDefault="003246C3" w:rsidP="003246C3">
      <w:pPr>
        <w:pStyle w:val="Style58"/>
        <w:rPr>
          <w:sz w:val="26"/>
          <w:szCs w:val="26"/>
          <w:lang w:val="uk-UA"/>
        </w:rPr>
      </w:pPr>
      <w:r w:rsidRPr="001979D2">
        <w:rPr>
          <w:sz w:val="26"/>
          <w:szCs w:val="26"/>
          <w:lang w:val="uk-UA"/>
        </w:rPr>
        <w:t xml:space="preserve">ORCID </w:t>
      </w:r>
      <w:hyperlink r:id="rId4" w:history="1">
        <w:r w:rsidRPr="001979D2">
          <w:rPr>
            <w:rStyle w:val="a3"/>
            <w:rFonts w:eastAsia="Calibri"/>
            <w:sz w:val="26"/>
            <w:szCs w:val="26"/>
            <w:lang w:val="uk-UA"/>
          </w:rPr>
          <w:t>https://orcid.org/0000-0002-1386-3409</w:t>
        </w:r>
      </w:hyperlink>
      <w:r w:rsidRPr="001979D2">
        <w:rPr>
          <w:sz w:val="26"/>
          <w:szCs w:val="26"/>
          <w:lang w:val="uk-UA"/>
        </w:rPr>
        <w:t>,</w:t>
      </w:r>
    </w:p>
    <w:p w:rsidR="003246C3" w:rsidRPr="001979D2" w:rsidRDefault="003246C3" w:rsidP="003246C3">
      <w:pPr>
        <w:pStyle w:val="Style58"/>
        <w:rPr>
          <w:sz w:val="26"/>
          <w:szCs w:val="26"/>
          <w:lang w:val="uk-UA"/>
        </w:rPr>
      </w:pPr>
      <w:r w:rsidRPr="001979D2">
        <w:rPr>
          <w:sz w:val="26"/>
          <w:szCs w:val="26"/>
          <w:lang w:val="uk-UA"/>
        </w:rPr>
        <w:t xml:space="preserve">молодша наукова співробітниця, </w:t>
      </w:r>
    </w:p>
    <w:p w:rsidR="003246C3" w:rsidRPr="001979D2" w:rsidRDefault="003246C3" w:rsidP="003246C3">
      <w:pPr>
        <w:pStyle w:val="Style58"/>
        <w:rPr>
          <w:sz w:val="26"/>
          <w:szCs w:val="26"/>
          <w:lang w:val="uk-UA"/>
        </w:rPr>
      </w:pPr>
      <w:r w:rsidRPr="001979D2">
        <w:rPr>
          <w:sz w:val="26"/>
          <w:szCs w:val="26"/>
          <w:lang w:val="uk-UA"/>
        </w:rPr>
        <w:t>сектор обслуговування у читальних залах періодичних видань,</w:t>
      </w:r>
    </w:p>
    <w:p w:rsidR="003246C3" w:rsidRPr="001979D2" w:rsidRDefault="003246C3" w:rsidP="003246C3">
      <w:pPr>
        <w:pStyle w:val="Style58"/>
        <w:rPr>
          <w:sz w:val="26"/>
          <w:szCs w:val="26"/>
          <w:lang w:val="uk-UA"/>
        </w:rPr>
      </w:pPr>
      <w:r w:rsidRPr="001979D2">
        <w:rPr>
          <w:sz w:val="26"/>
          <w:szCs w:val="26"/>
          <w:lang w:val="uk-UA"/>
        </w:rPr>
        <w:t>відділ комплексного бібліотечного обслуговування,</w:t>
      </w:r>
    </w:p>
    <w:p w:rsidR="003246C3" w:rsidRPr="001979D2" w:rsidRDefault="003246C3" w:rsidP="003246C3">
      <w:pPr>
        <w:pStyle w:val="Style58"/>
        <w:rPr>
          <w:sz w:val="26"/>
          <w:szCs w:val="26"/>
          <w:lang w:val="uk-UA"/>
        </w:rPr>
      </w:pPr>
      <w:r w:rsidRPr="001979D2">
        <w:rPr>
          <w:sz w:val="26"/>
          <w:szCs w:val="26"/>
          <w:lang w:val="uk-UA"/>
        </w:rPr>
        <w:t>Національна бібліотека України імені В. І. Вернадського,</w:t>
      </w:r>
    </w:p>
    <w:p w:rsidR="003246C3" w:rsidRPr="001979D2" w:rsidRDefault="003246C3" w:rsidP="003246C3">
      <w:pPr>
        <w:pStyle w:val="Style58"/>
        <w:rPr>
          <w:sz w:val="26"/>
          <w:szCs w:val="26"/>
          <w:lang w:val="uk-UA"/>
        </w:rPr>
      </w:pPr>
      <w:r w:rsidRPr="001979D2">
        <w:rPr>
          <w:sz w:val="26"/>
          <w:szCs w:val="26"/>
          <w:lang w:val="uk-UA"/>
        </w:rPr>
        <w:t>Київ, Україна,</w:t>
      </w:r>
    </w:p>
    <w:p w:rsidR="003246C3" w:rsidRPr="001979D2" w:rsidRDefault="003246C3" w:rsidP="003246C3">
      <w:pPr>
        <w:pStyle w:val="Style58"/>
        <w:rPr>
          <w:sz w:val="26"/>
          <w:szCs w:val="26"/>
          <w:lang w:val="uk-UA"/>
        </w:rPr>
      </w:pPr>
      <w:r w:rsidRPr="001979D2">
        <w:rPr>
          <w:sz w:val="26"/>
          <w:szCs w:val="26"/>
          <w:lang w:val="uk-UA"/>
        </w:rPr>
        <w:t xml:space="preserve">e-mail: </w:t>
      </w:r>
      <w:hyperlink r:id="rId5" w:history="1">
        <w:r w:rsidRPr="001979D2">
          <w:rPr>
            <w:sz w:val="26"/>
            <w:szCs w:val="26"/>
            <w:lang w:val="uk-UA"/>
          </w:rPr>
          <w:t>el99886@ukr.net</w:t>
        </w:r>
      </w:hyperlink>
      <w:r w:rsidRPr="001979D2">
        <w:rPr>
          <w:sz w:val="26"/>
          <w:szCs w:val="26"/>
          <w:lang w:val="uk-UA"/>
        </w:rPr>
        <w:t xml:space="preserve"> </w:t>
      </w:r>
    </w:p>
    <w:p w:rsidR="003246C3" w:rsidRPr="001979D2" w:rsidRDefault="003246C3" w:rsidP="003246C3">
      <w:pPr>
        <w:pStyle w:val="Style58"/>
        <w:rPr>
          <w:sz w:val="28"/>
          <w:szCs w:val="28"/>
          <w:lang w:val="uk-UA"/>
        </w:rPr>
      </w:pPr>
    </w:p>
    <w:p w:rsidR="003246C3" w:rsidRPr="001979D2" w:rsidRDefault="003246C3" w:rsidP="003246C3">
      <w:pPr>
        <w:pStyle w:val="Style58"/>
        <w:jc w:val="center"/>
        <w:outlineLvl w:val="2"/>
        <w:rPr>
          <w:b/>
          <w:sz w:val="28"/>
          <w:szCs w:val="28"/>
          <w:lang w:val="uk-UA"/>
        </w:rPr>
      </w:pPr>
      <w:bookmarkStart w:id="1" w:name="_Toc209907026"/>
      <w:r w:rsidRPr="001979D2">
        <w:rPr>
          <w:b/>
          <w:sz w:val="28"/>
          <w:szCs w:val="28"/>
          <w:lang w:val="uk-UA"/>
        </w:rPr>
        <w:t>Основні аспекти еволюції публічного доступу в Національних книгозбірнях</w:t>
      </w:r>
      <w:r>
        <w:rPr>
          <w:b/>
          <w:sz w:val="28"/>
          <w:szCs w:val="28"/>
          <w:lang w:val="uk-UA"/>
        </w:rPr>
        <w:t xml:space="preserve"> </w:t>
      </w:r>
      <w:r w:rsidRPr="001979D2">
        <w:rPr>
          <w:b/>
          <w:sz w:val="28"/>
          <w:szCs w:val="28"/>
          <w:lang w:val="uk-UA"/>
        </w:rPr>
        <w:t>(за матеріалами координаційних документів міжнародних бібліотечних інституцій)</w:t>
      </w:r>
      <w:bookmarkEnd w:id="1"/>
    </w:p>
    <w:p w:rsidR="003246C3" w:rsidRPr="001979D2" w:rsidRDefault="003246C3" w:rsidP="003246C3">
      <w:pPr>
        <w:rPr>
          <w:bCs/>
          <w:kern w:val="2"/>
          <w:sz w:val="28"/>
          <w:szCs w:val="28"/>
          <w:lang w:eastAsia="zh-CN"/>
        </w:rPr>
      </w:pPr>
      <w:r w:rsidRPr="001979D2">
        <w:rPr>
          <w:bCs/>
          <w:kern w:val="2"/>
          <w:sz w:val="28"/>
          <w:szCs w:val="28"/>
          <w:lang w:eastAsia="zh-CN"/>
        </w:rPr>
        <w:t> </w:t>
      </w:r>
    </w:p>
    <w:p w:rsidR="003246C3" w:rsidRPr="001979D2" w:rsidRDefault="003246C3" w:rsidP="003246C3">
      <w:pPr>
        <w:ind w:firstLine="0"/>
        <w:rPr>
          <w:bCs/>
          <w:kern w:val="2"/>
          <w:sz w:val="26"/>
          <w:szCs w:val="26"/>
          <w:lang w:eastAsia="zh-CN"/>
        </w:rPr>
      </w:pPr>
      <w:r w:rsidRPr="001979D2">
        <w:rPr>
          <w:bCs/>
          <w:kern w:val="2"/>
          <w:sz w:val="26"/>
          <w:szCs w:val="26"/>
          <w:lang w:eastAsia="zh-CN"/>
        </w:rPr>
        <w:t>Проаналізовано ряд підсумкових документів IFLA, WSIS, EIFL, DC-PAL та UNESCO щодо ухвалення резолюції Всесвітнього саміту з інформаційного суспільстві за останні 20 років (WSIS+20). Наведено основні результати маркетингового дослідження та розглянуто особливості бібліотечно-інформаційного обслуговування читачів НБУВ іноземними електронними ресурсами в сьогочасних умовах.</w:t>
      </w:r>
    </w:p>
    <w:p w:rsidR="003246C3" w:rsidRPr="001979D2" w:rsidRDefault="003246C3" w:rsidP="003246C3">
      <w:pPr>
        <w:ind w:firstLine="0"/>
        <w:rPr>
          <w:bCs/>
          <w:kern w:val="2"/>
          <w:sz w:val="26"/>
          <w:szCs w:val="26"/>
          <w:lang w:eastAsia="zh-CN"/>
        </w:rPr>
      </w:pPr>
      <w:r w:rsidRPr="001979D2">
        <w:rPr>
          <w:bCs/>
          <w:i/>
          <w:iCs/>
          <w:kern w:val="2"/>
          <w:sz w:val="26"/>
          <w:szCs w:val="26"/>
          <w:lang w:eastAsia="zh-CN"/>
        </w:rPr>
        <w:t>Ключові слова:</w:t>
      </w:r>
      <w:r w:rsidRPr="001979D2">
        <w:rPr>
          <w:bCs/>
          <w:kern w:val="2"/>
          <w:sz w:val="26"/>
          <w:szCs w:val="26"/>
          <w:lang w:eastAsia="zh-CN"/>
        </w:rPr>
        <w:t xml:space="preserve"> публічний доступ, цифрові колекції, книгозбірня в інформаційному середовищі, рекомендації з бібліотечної діяльності, IFLA, WSIS, DC-PAL, дослідження. </w:t>
      </w:r>
    </w:p>
    <w:p w:rsidR="003246C3" w:rsidRPr="001979D2" w:rsidRDefault="003246C3" w:rsidP="003246C3">
      <w:pPr>
        <w:rPr>
          <w:bCs/>
          <w:kern w:val="2"/>
          <w:sz w:val="26"/>
          <w:szCs w:val="26"/>
          <w:lang w:eastAsia="zh-CN"/>
        </w:rPr>
      </w:pPr>
      <w:r w:rsidRPr="001979D2">
        <w:rPr>
          <w:bCs/>
          <w:kern w:val="2"/>
          <w:sz w:val="26"/>
          <w:szCs w:val="26"/>
          <w:lang w:eastAsia="zh-CN"/>
        </w:rPr>
        <w:t> </w:t>
      </w:r>
    </w:p>
    <w:p w:rsidR="003246C3" w:rsidRPr="001979D2" w:rsidRDefault="003246C3" w:rsidP="003246C3">
      <w:pPr>
        <w:rPr>
          <w:bCs/>
          <w:kern w:val="2"/>
          <w:sz w:val="28"/>
          <w:szCs w:val="28"/>
          <w:lang w:eastAsia="zh-CN"/>
        </w:rPr>
      </w:pPr>
      <w:r w:rsidRPr="001979D2">
        <w:rPr>
          <w:bCs/>
          <w:kern w:val="2"/>
          <w:sz w:val="28"/>
          <w:szCs w:val="28"/>
          <w:lang w:eastAsia="zh-CN"/>
        </w:rPr>
        <w:t>В останні десятиліття бібліотеки зіштовхнулися з глобальними соціальними (повномасштабні війни, пандемія COVID-19, мобільність населення тощо) та технологічними викликами (Crypto, Web 3.0, Metaverse</w:t>
      </w:r>
      <w:r w:rsidRPr="001979D2">
        <w:rPr>
          <w:bCs/>
          <w:i/>
          <w:iCs/>
          <w:kern w:val="2"/>
          <w:sz w:val="28"/>
          <w:szCs w:val="28"/>
          <w:lang w:eastAsia="zh-CN"/>
        </w:rPr>
        <w:t> </w:t>
      </w:r>
      <w:r w:rsidRPr="001979D2">
        <w:rPr>
          <w:bCs/>
          <w:kern w:val="2"/>
          <w:sz w:val="28"/>
          <w:szCs w:val="28"/>
          <w:lang w:eastAsia="zh-CN"/>
        </w:rPr>
        <w:t>тощо). Стрімкий прогрес у сфері штучного інтелекту (Artificial Intelligence) змінює весь ландшафт бібліотечної справи, встановлюючи нові завдання та надаючи безпрецедентні можливості. За цих умов актуалізується питання щодо зміни й еволюції характеру та місця публічного доступу (далі – ПД) у бібліотеках й організації обслуговування з урахуванням специфіки сучасних наукових комунікацій та життєвих реалій.</w:t>
      </w:r>
    </w:p>
    <w:p w:rsidR="003246C3" w:rsidRPr="001979D2" w:rsidRDefault="003246C3" w:rsidP="003246C3">
      <w:pPr>
        <w:rPr>
          <w:bCs/>
          <w:kern w:val="2"/>
          <w:sz w:val="28"/>
          <w:szCs w:val="28"/>
          <w:lang w:eastAsia="zh-CN"/>
        </w:rPr>
      </w:pPr>
      <w:r w:rsidRPr="001979D2">
        <w:rPr>
          <w:bCs/>
          <w:kern w:val="2"/>
          <w:sz w:val="28"/>
          <w:szCs w:val="28"/>
          <w:lang w:eastAsia="zh-CN"/>
        </w:rPr>
        <w:t xml:space="preserve">Уперше обговорення ПД у бібліотеках було внесено до Плану дій Всесвітнього саміту з інформаційного суспільства (World Summit on the Information Society, далі – WSIS) 10–12 грудня 2003 р. Тоді ж було створено Динамічну коаліцію з публічного доступу у бібліотеках (Dynamic Coalition оn Public Access in Libraries, далі – DC-PAL). Країни – учасниці WSIS узгодили спільний План дій, що містить наступний параграф: 10(d). Урядам рекомендовано створювати стійкі багатоцільові пункти ПД до різних комунікаційних ресурсів, насамперед Інтернету, для допомоги користувачам у бібліотеках, навчальних закладах, державних структурах тощо. </w:t>
      </w:r>
    </w:p>
    <w:p w:rsidR="003246C3" w:rsidRPr="001979D2" w:rsidRDefault="003246C3" w:rsidP="003246C3">
      <w:pPr>
        <w:rPr>
          <w:bCs/>
          <w:kern w:val="2"/>
          <w:sz w:val="28"/>
          <w:szCs w:val="28"/>
          <w:lang w:eastAsia="zh-CN"/>
        </w:rPr>
      </w:pPr>
      <w:r w:rsidRPr="001979D2">
        <w:rPr>
          <w:bCs/>
          <w:kern w:val="2"/>
          <w:sz w:val="28"/>
          <w:szCs w:val="28"/>
          <w:lang w:eastAsia="zh-CN"/>
        </w:rPr>
        <w:t xml:space="preserve">Показово, що обслуговування читачів електронними інформаційними ресурсами у залах періодичних видань Відділу комплексного бібліотечного обслуговування НБУВ розпочато саме з кінця 2003 р. У лютому 2006 р. користувачі отримали доступ до рецензованої наукової інформації славетного нідерландського видавництва «Elsevier» (основні аспекти цього напряму </w:t>
      </w:r>
      <w:r w:rsidRPr="001979D2">
        <w:rPr>
          <w:bCs/>
          <w:kern w:val="2"/>
          <w:sz w:val="28"/>
          <w:szCs w:val="28"/>
          <w:lang w:eastAsia="zh-CN"/>
        </w:rPr>
        <w:lastRenderedPageBreak/>
        <w:t xml:space="preserve">функціонування НБУВ детально висвітлено у попередніх публікаціях авторки). </w:t>
      </w:r>
    </w:p>
    <w:p w:rsidR="003246C3" w:rsidRPr="001979D2" w:rsidRDefault="003246C3" w:rsidP="003246C3">
      <w:pPr>
        <w:rPr>
          <w:bCs/>
          <w:kern w:val="2"/>
          <w:sz w:val="28"/>
          <w:szCs w:val="28"/>
          <w:lang w:eastAsia="zh-CN"/>
        </w:rPr>
      </w:pPr>
      <w:r w:rsidRPr="001979D2">
        <w:rPr>
          <w:bCs/>
          <w:kern w:val="2"/>
          <w:sz w:val="28"/>
          <w:szCs w:val="28"/>
          <w:lang w:eastAsia="zh-CN"/>
        </w:rPr>
        <w:t>Перші результати запрограмованої IFLA та DC-PAL роботи представлено у серії документів WSIS за минулі десять років (далі – WSIS+10) Женеві 2014 р. У грудні 2016 р. IFLA та EIFL (Electronic Information for Libraries)</w:t>
      </w:r>
      <w:r w:rsidRPr="001979D2">
        <w:rPr>
          <w:bCs/>
          <w:i/>
          <w:iCs/>
          <w:kern w:val="2"/>
          <w:sz w:val="28"/>
          <w:szCs w:val="28"/>
          <w:lang w:eastAsia="zh-CN"/>
        </w:rPr>
        <w:t> </w:t>
      </w:r>
      <w:r w:rsidRPr="001979D2">
        <w:rPr>
          <w:bCs/>
          <w:kern w:val="2"/>
          <w:sz w:val="28"/>
          <w:szCs w:val="28"/>
          <w:lang w:eastAsia="zh-CN"/>
        </w:rPr>
        <w:t>ухвалено заяву «Варіанти політики щодо підключення та забезпечення можливостей для наступного мільярда користувачів». У позиційному документі охарактеризовано основні напрями діяльності, запропонованої DC-PAL, щодо вирішення проблем доступу до інфраструктури Інтернету та цифрового контенту, зокрема й у бібліотеках.</w:t>
      </w:r>
    </w:p>
    <w:p w:rsidR="003246C3" w:rsidRPr="001979D2" w:rsidRDefault="003246C3" w:rsidP="003246C3">
      <w:pPr>
        <w:rPr>
          <w:bCs/>
          <w:kern w:val="2"/>
          <w:sz w:val="28"/>
          <w:szCs w:val="28"/>
          <w:lang w:eastAsia="zh-CN"/>
        </w:rPr>
      </w:pPr>
      <w:r w:rsidRPr="001979D2">
        <w:rPr>
          <w:bCs/>
          <w:kern w:val="2"/>
          <w:sz w:val="28"/>
          <w:szCs w:val="28"/>
          <w:lang w:eastAsia="zh-CN"/>
        </w:rPr>
        <w:t xml:space="preserve">Звіт «Еволюція у сфері публічного доступу» (Evolutions in public access, жовтень 2023 р). є попередньою версією («нульовим проєктом») огляду – DC-PAL: 20 років еволюції в галузі публічного доступу (Dynamic Coalition on Public Access in Libraries: 20 Years of Evolution in Public Access). Пізніше Звіт було розширено та доповнено за результатами сесії DC-PAL східного Форуму з управління Інтернетом (Кіото, 2023) та наступних висновків та пропозицій. </w:t>
      </w:r>
    </w:p>
    <w:p w:rsidR="003246C3" w:rsidRPr="001979D2" w:rsidRDefault="003246C3" w:rsidP="003246C3">
      <w:pPr>
        <w:rPr>
          <w:bCs/>
          <w:kern w:val="2"/>
          <w:sz w:val="28"/>
          <w:szCs w:val="28"/>
          <w:lang w:eastAsia="zh-CN"/>
        </w:rPr>
      </w:pPr>
      <w:r w:rsidRPr="001979D2">
        <w:rPr>
          <w:bCs/>
          <w:kern w:val="2"/>
          <w:sz w:val="28"/>
          <w:szCs w:val="28"/>
          <w:lang w:eastAsia="zh-CN"/>
        </w:rPr>
        <w:t>Обидва Звіти («нульовий варіант» та перша версія) відзначають зміни в публічному інтернет-доступі й важливість ПД в ширшому контексті, зокрема й досягненні пріоритетних цілей сталого розвитку. Важливий напрям функціонування – забезпечення якіснішого зв’язку (технології LEO, Starlink)</w:t>
      </w:r>
      <w:r w:rsidRPr="001979D2">
        <w:rPr>
          <w:bCs/>
          <w:i/>
          <w:iCs/>
          <w:kern w:val="2"/>
          <w:sz w:val="28"/>
          <w:szCs w:val="28"/>
          <w:lang w:eastAsia="zh-CN"/>
        </w:rPr>
        <w:t> </w:t>
      </w:r>
      <w:r w:rsidRPr="001979D2">
        <w:rPr>
          <w:bCs/>
          <w:kern w:val="2"/>
          <w:sz w:val="28"/>
          <w:szCs w:val="28"/>
          <w:lang w:eastAsia="zh-CN"/>
        </w:rPr>
        <w:t>та стабільнішого доступу до цифрового бібліотечного контенту. Програми «Гігабітної бібліотечної мережі» (Gigabit Libraries Network) мотивують книгозбірні усього світу до вивчення того, як цими новими системами можна успішно скористатися. Визначальним засобом реалізації означених директив є спільна робота за Програмою UNESCO «Інформація для всіх».</w:t>
      </w:r>
    </w:p>
    <w:p w:rsidR="003246C3" w:rsidRPr="001979D2" w:rsidRDefault="003246C3" w:rsidP="003246C3">
      <w:pPr>
        <w:rPr>
          <w:bCs/>
          <w:kern w:val="2"/>
          <w:sz w:val="28"/>
          <w:szCs w:val="28"/>
          <w:lang w:eastAsia="zh-CN"/>
        </w:rPr>
      </w:pPr>
      <w:r w:rsidRPr="001979D2">
        <w:rPr>
          <w:bCs/>
          <w:kern w:val="2"/>
          <w:sz w:val="28"/>
          <w:szCs w:val="28"/>
          <w:lang w:eastAsia="zh-CN"/>
        </w:rPr>
        <w:t>Цифрові платформи виявилися особливо корисними у кризові часи, зокрема й пандемії COVID-19. Тоді через карантин та соціальне дистанціювання більшість книгозбірень тимчасово призупинили роботу. Проте, наявність електронних матеріалів уможливила віддалене звернення користувачів до бібліотечних ресурсів, що підкреслює важливість цифрових колекцій для забезпечення безперервності обслуговування за надзвичайних обставин. Провідні національні книгозбірні змогли перейти на нові форми обслуговування у режимі – цифрові послуги насамперед (digital first), впорядкувавши роботу так, що мотивація працівників навіть зросла. Британська бібліотека оцінила рівень залучення своїх співробітників до робочих процесів у 2019/2020 рр. у чотири бали (за п’ятибальною шкалою), що перевищує показники за 2018/2019 та 2017/2018 рр. (відповідно – 3,88 та 3,94). Характерно, що подібні трансформації відбулися і у НБУВ, зокрема системі обслуговування користувачів іноземними електронними часописами. За даними опрацювання, проведеного відділом наукового формування національних реферативних ресурсів НБУВ (С. Гарагуля), кількість пошукових запитів до передплаченої бази даних «Web of Science»</w:t>
      </w:r>
      <w:r w:rsidRPr="001979D2">
        <w:rPr>
          <w:bCs/>
          <w:i/>
          <w:iCs/>
          <w:kern w:val="2"/>
          <w:sz w:val="28"/>
          <w:szCs w:val="28"/>
          <w:lang w:eastAsia="zh-CN"/>
        </w:rPr>
        <w:t> </w:t>
      </w:r>
      <w:r w:rsidRPr="001979D2">
        <w:rPr>
          <w:bCs/>
          <w:kern w:val="2"/>
          <w:sz w:val="28"/>
          <w:szCs w:val="28"/>
          <w:lang w:eastAsia="zh-CN"/>
        </w:rPr>
        <w:t>– 2020 р. зросла більш ніж у 4 рази проти того ж періоду 2019 р. (червень – січень).</w:t>
      </w:r>
    </w:p>
    <w:p w:rsidR="003246C3" w:rsidRPr="001979D2" w:rsidRDefault="003246C3" w:rsidP="003246C3">
      <w:pPr>
        <w:rPr>
          <w:bCs/>
          <w:kern w:val="2"/>
          <w:sz w:val="28"/>
          <w:szCs w:val="28"/>
          <w:lang w:eastAsia="zh-CN"/>
        </w:rPr>
      </w:pPr>
      <w:r w:rsidRPr="001979D2">
        <w:rPr>
          <w:bCs/>
          <w:kern w:val="2"/>
          <w:sz w:val="28"/>
          <w:szCs w:val="28"/>
          <w:lang w:eastAsia="zh-CN"/>
        </w:rPr>
        <w:t>24 лютого 2022 р. світ став іншим. Нова реальність вимагала переосмислення підходів до організації виробничого процесу та обслуговування читачів. Попри воєнний стан, у відповідь на офіційне звернення Міністерства освіти і науки України, з липня 2023 р. компаніями Elsevier, Clarivate Analytics та Research4Life було надано згоду на подовження у дистанційному режимі термінів доступу до передплачених баз наукової інформації: міжнародного порталу знань «Research4Life»</w:t>
      </w:r>
      <w:r w:rsidRPr="001979D2">
        <w:rPr>
          <w:bCs/>
          <w:i/>
          <w:iCs/>
          <w:kern w:val="2"/>
          <w:sz w:val="28"/>
          <w:szCs w:val="28"/>
          <w:lang w:eastAsia="zh-CN"/>
        </w:rPr>
        <w:t> </w:t>
      </w:r>
      <w:r w:rsidRPr="001979D2">
        <w:rPr>
          <w:bCs/>
          <w:kern w:val="2"/>
          <w:sz w:val="28"/>
          <w:szCs w:val="28"/>
          <w:lang w:eastAsia="zh-CN"/>
        </w:rPr>
        <w:t>включно до 31 грудня 2024 р., ліцензійних ресурсів видавництва «Elsevier» й наукометричної платформи «Web of Science»</w:t>
      </w:r>
      <w:r w:rsidRPr="001979D2">
        <w:rPr>
          <w:bCs/>
          <w:i/>
          <w:iCs/>
          <w:kern w:val="2"/>
          <w:sz w:val="28"/>
          <w:szCs w:val="28"/>
          <w:lang w:eastAsia="zh-CN"/>
        </w:rPr>
        <w:t> </w:t>
      </w:r>
      <w:r w:rsidRPr="001979D2">
        <w:rPr>
          <w:bCs/>
          <w:kern w:val="2"/>
          <w:sz w:val="28"/>
          <w:szCs w:val="28"/>
          <w:lang w:eastAsia="zh-CN"/>
        </w:rPr>
        <w:t>включно до 31 грудня 2023 р.</w:t>
      </w:r>
    </w:p>
    <w:p w:rsidR="003246C3" w:rsidRPr="001979D2" w:rsidRDefault="003246C3" w:rsidP="003246C3">
      <w:pPr>
        <w:rPr>
          <w:bCs/>
          <w:kern w:val="2"/>
          <w:sz w:val="28"/>
          <w:szCs w:val="28"/>
          <w:lang w:eastAsia="zh-CN"/>
        </w:rPr>
      </w:pPr>
      <w:r w:rsidRPr="001979D2">
        <w:rPr>
          <w:bCs/>
          <w:kern w:val="2"/>
          <w:sz w:val="28"/>
          <w:szCs w:val="28"/>
          <w:lang w:eastAsia="zh-CN"/>
        </w:rPr>
        <w:t>За результатами анкетування, проведеного у рамках бібліотечного маркетингового дослідження щодо оптимізації системи дистанційних бібліотечно-інформаційних послуг НБУВ (2024) (поширеної як поміж віддалених, так і безпосередніх (стаціонарних) читачів залів періодичних видань), переважна більшість респондентів – 84,2 % насамперед зацікавлені у реферативній БД «Scopus»; наукометричну платформу</w:t>
      </w:r>
      <w:r w:rsidRPr="001979D2">
        <w:rPr>
          <w:bCs/>
          <w:i/>
          <w:iCs/>
          <w:kern w:val="2"/>
          <w:sz w:val="28"/>
          <w:szCs w:val="28"/>
          <w:lang w:eastAsia="zh-CN"/>
        </w:rPr>
        <w:t> </w:t>
      </w:r>
      <w:r w:rsidRPr="001979D2">
        <w:rPr>
          <w:bCs/>
          <w:kern w:val="2"/>
          <w:sz w:val="28"/>
          <w:szCs w:val="28"/>
          <w:lang w:eastAsia="zh-CN"/>
        </w:rPr>
        <w:t>«Web of Science»</w:t>
      </w:r>
      <w:r w:rsidRPr="001979D2">
        <w:rPr>
          <w:bCs/>
          <w:i/>
          <w:iCs/>
          <w:kern w:val="2"/>
          <w:sz w:val="28"/>
          <w:szCs w:val="28"/>
          <w:lang w:eastAsia="zh-CN"/>
        </w:rPr>
        <w:t> </w:t>
      </w:r>
      <w:r w:rsidRPr="001979D2">
        <w:rPr>
          <w:bCs/>
          <w:kern w:val="2"/>
          <w:sz w:val="28"/>
          <w:szCs w:val="28"/>
          <w:lang w:eastAsia="zh-CN"/>
        </w:rPr>
        <w:t>визнали пріоритетною – 10,6 % опитаних; міжнародний портал знань «Research4Life» </w:t>
      </w:r>
      <w:r w:rsidRPr="001979D2">
        <w:rPr>
          <w:bCs/>
          <w:i/>
          <w:iCs/>
          <w:kern w:val="2"/>
          <w:sz w:val="28"/>
          <w:szCs w:val="28"/>
          <w:lang w:eastAsia="zh-CN"/>
        </w:rPr>
        <w:t>– </w:t>
      </w:r>
      <w:r w:rsidRPr="001979D2">
        <w:rPr>
          <w:bCs/>
          <w:kern w:val="2"/>
          <w:sz w:val="28"/>
          <w:szCs w:val="28"/>
          <w:lang w:eastAsia="zh-CN"/>
        </w:rPr>
        <w:t>5,2 %. Структура оцінки респондентами якості та інформаційної повноти електронних сервісів, представлених на вебпорталі НБУВ, виглядає так: 48,0 % користувачів задовольняє результат пошуку, 40,0 % – частково, 12,0 % відповіли, що пошук часто буває непродуктивним. Пропозиції висловили 4 % респондентів, переважно постійні читачі залів періодичних видань. Їх розгляд дав можливість зробити певні висновки й, зважаючи на результати опитувань та відгуків, виокремити напрями, що потребують удосконалення.</w:t>
      </w:r>
    </w:p>
    <w:p w:rsidR="003246C3" w:rsidRPr="001979D2" w:rsidRDefault="003246C3" w:rsidP="003246C3">
      <w:pPr>
        <w:rPr>
          <w:bCs/>
          <w:kern w:val="2"/>
          <w:sz w:val="28"/>
          <w:szCs w:val="28"/>
          <w:lang w:eastAsia="zh-CN"/>
        </w:rPr>
      </w:pPr>
      <w:r w:rsidRPr="001979D2">
        <w:rPr>
          <w:bCs/>
          <w:kern w:val="2"/>
          <w:sz w:val="28"/>
          <w:szCs w:val="28"/>
          <w:lang w:eastAsia="zh-CN"/>
        </w:rPr>
        <w:t>Аналіз показує, що значна кількість читачів НБУВ активно працює з цифровими ресурсами (насамперед, науковою електронною бібліотекою, онлайн-журналами та віртуальною довідковою службою). Половина опитаних мала високий рівень задоволеності доступністю та вибором цифрових ресурсів, проте існують галузі, що вимагають покращення. Так, користувачі зазначили необхідність розширення спектра цифрових матеріалів, особливо у спеціалізованих наукових сферах, передусім – відновлення доступу до електронних часописів видавництва «Elsevier»</w:t>
      </w:r>
      <w:r w:rsidRPr="001979D2">
        <w:rPr>
          <w:bCs/>
          <w:i/>
          <w:iCs/>
          <w:kern w:val="2"/>
          <w:sz w:val="28"/>
          <w:szCs w:val="28"/>
          <w:lang w:eastAsia="zh-CN"/>
        </w:rPr>
        <w:t xml:space="preserve">. </w:t>
      </w:r>
      <w:r w:rsidRPr="001979D2">
        <w:rPr>
          <w:bCs/>
          <w:kern w:val="2"/>
          <w:sz w:val="28"/>
          <w:szCs w:val="28"/>
          <w:lang w:eastAsia="zh-CN"/>
        </w:rPr>
        <w:t>Крім того, деякі респонденти повідомили про складнощі у навігації цифровими платформами, що підкреслює важливість розробки більш інтуїтивних інтерфейсів та поглиблених роз’яснювальних матеріалів для користувачів. Технічні проблеми, такі як повільне завантаження та складнощі з «доступом», що періодично мають місце, також вимагають уваги. Відгуки демонструють потребу у впровадженні більш інтерактивних та цікавих способів використання цифрових технологій. Наприклад, опитані користувачі запропонували додати такі функції, як віртуальні екскурсії та інтерактивні навчальні матеріали, й порадили знайти динамічніші способи представлення потрібного контенту.</w:t>
      </w:r>
    </w:p>
    <w:p w:rsidR="003246C3" w:rsidRPr="001979D2" w:rsidRDefault="003246C3" w:rsidP="003246C3">
      <w:pPr>
        <w:rPr>
          <w:bCs/>
          <w:kern w:val="2"/>
          <w:sz w:val="28"/>
          <w:szCs w:val="28"/>
          <w:lang w:eastAsia="zh-CN"/>
        </w:rPr>
      </w:pPr>
      <w:r w:rsidRPr="001979D2">
        <w:rPr>
          <w:bCs/>
          <w:kern w:val="2"/>
          <w:sz w:val="28"/>
          <w:szCs w:val="28"/>
          <w:lang w:eastAsia="zh-CN"/>
        </w:rPr>
        <w:t>Минуло понад 20 років з часу першого внесення бібліотек до порядку денного у сфері управління інтернетом. Огляд діяльності WSIS+20 (2025) – цього року. Узагальнюючи кінцеві приписи та директиви IFLA, WSIS, EIFL, DC-PAL та UNESCO щодо того, як змінювався та еволюціонував характер та місце публічного доступу у бібліотеках, можна зробити висновок, що наразі: бібліотеки є ключовою інфраструктурою як просування, так і забезпечення цифрового контенту та інформаційної освіченості; книгозбірнями доведено адаптивність щодо реалізації нових рішень з мережевої взаємодії; надання ПД до інтернету в бібліотеках не конкурує з «приватним» доступом, а скоріше доповнює його; спостерігається все більше прикладів того, як ПД стає «відправною» точкою для партнерських відносин та бібліотечної взаємодії; книгозбірні довели свою здатність гідно «реагувати» на надзвичайні обставини.</w:t>
      </w:r>
    </w:p>
    <w:p w:rsidR="003246C3" w:rsidRPr="001979D2" w:rsidRDefault="003246C3" w:rsidP="003246C3">
      <w:pPr>
        <w:rPr>
          <w:bCs/>
          <w:kern w:val="2"/>
          <w:sz w:val="28"/>
          <w:szCs w:val="28"/>
          <w:lang w:eastAsia="zh-CN"/>
        </w:rPr>
      </w:pPr>
      <w:r w:rsidRPr="001979D2">
        <w:rPr>
          <w:bCs/>
          <w:kern w:val="2"/>
          <w:sz w:val="28"/>
          <w:szCs w:val="28"/>
          <w:lang w:eastAsia="zh-CN"/>
        </w:rPr>
        <w:t xml:space="preserve">Подібні тенденції спостерігаються як у практичній діяльності НБУВ, так й у системі сервісного обслуговування користувачів залів періодичних видань. Бібліотека надає вивірені цифрові платформи, водночас зберігаючи традиційні послуги для задоволення інформаційних потреб усіх своїх читачів. </w:t>
      </w:r>
    </w:p>
    <w:p w:rsidR="003246C3" w:rsidRPr="001979D2" w:rsidRDefault="003246C3" w:rsidP="003246C3">
      <w:pPr>
        <w:rPr>
          <w:bCs/>
          <w:kern w:val="2"/>
          <w:sz w:val="28"/>
          <w:szCs w:val="28"/>
          <w:lang w:eastAsia="zh-CN"/>
        </w:rPr>
      </w:pPr>
      <w:r w:rsidRPr="001979D2">
        <w:rPr>
          <w:bCs/>
          <w:kern w:val="2"/>
          <w:sz w:val="28"/>
          <w:szCs w:val="28"/>
          <w:lang w:eastAsia="zh-CN"/>
        </w:rPr>
        <w:t>Зовнішні обставини та поширення цифрових послуг привели й до значних змін у зміщенні пріоритетів користувачів НБУВ. Помітно скоротилася кількість фізичних відвідувань книгозбірні на тлі істотного зростання використання цифрових платформ.</w:t>
      </w:r>
    </w:p>
    <w:p w:rsidR="003246C3" w:rsidRPr="001979D2" w:rsidRDefault="003246C3" w:rsidP="003246C3">
      <w:pPr>
        <w:rPr>
          <w:bCs/>
          <w:kern w:val="2"/>
          <w:sz w:val="28"/>
          <w:szCs w:val="28"/>
          <w:lang w:eastAsia="zh-CN"/>
        </w:rPr>
      </w:pPr>
      <w:r w:rsidRPr="001979D2">
        <w:rPr>
          <w:bCs/>
          <w:kern w:val="2"/>
          <w:sz w:val="28"/>
          <w:szCs w:val="28"/>
          <w:lang w:eastAsia="zh-CN"/>
        </w:rPr>
        <w:t>Підсумовуючи практичний досвід обслуговування читачів НБУВ іноземними електронними часописами й спираючись на результати досліджень та анкетувань, зазначимо – постійна адаптація до цифрових тенденцій та трендів має вирішальне значення для збереження актуальності та успіху національних бібліотек в епоху цифрових технологій</w:t>
      </w:r>
      <w:r w:rsidRPr="001979D2">
        <w:rPr>
          <w:bCs/>
          <w:i/>
          <w:iCs/>
          <w:kern w:val="2"/>
          <w:sz w:val="28"/>
          <w:szCs w:val="28"/>
          <w:lang w:eastAsia="zh-CN"/>
        </w:rPr>
        <w:t>.</w:t>
      </w:r>
      <w:r w:rsidRPr="001979D2">
        <w:rPr>
          <w:bCs/>
          <w:kern w:val="2"/>
          <w:sz w:val="28"/>
          <w:szCs w:val="28"/>
          <w:lang w:eastAsia="zh-CN"/>
        </w:rPr>
        <w:t xml:space="preserve"> Одним із перспективних напрямів удосконалення системи бібліотечно-інформаційних послуг є використання штучного інтелекту для поліпшення взаємодії з користувачами. Стратегічне планування та постійні інновації також відіграють засадничу роль в підтримці еволюції ПД й подальшої модернізації бібліотечних послуг. Це досягається шляхом відповідного фінансування, розробки національних стандартів, зміцнення співробітництва між державою та бібліотеками й насамперед припинення війни.</w:t>
      </w:r>
    </w:p>
    <w:p w:rsidR="003246C3" w:rsidRPr="001979D2" w:rsidRDefault="003246C3" w:rsidP="003246C3">
      <w:pPr>
        <w:rPr>
          <w:bCs/>
          <w:kern w:val="2"/>
          <w:sz w:val="28"/>
          <w:szCs w:val="28"/>
          <w:lang w:eastAsia="zh-CN"/>
        </w:rPr>
      </w:pPr>
      <w:r w:rsidRPr="001979D2">
        <w:rPr>
          <w:bCs/>
          <w:kern w:val="2"/>
          <w:sz w:val="28"/>
          <w:szCs w:val="28"/>
          <w:lang w:eastAsia="zh-CN"/>
        </w:rPr>
        <w:t> </w:t>
      </w:r>
    </w:p>
    <w:p w:rsidR="003246C3" w:rsidRPr="001979D2" w:rsidRDefault="003246C3" w:rsidP="003246C3">
      <w:pPr>
        <w:pStyle w:val="Style58"/>
        <w:rPr>
          <w:b/>
          <w:sz w:val="26"/>
          <w:szCs w:val="26"/>
          <w:lang w:val="uk-UA"/>
        </w:rPr>
      </w:pPr>
      <w:r w:rsidRPr="001979D2">
        <w:rPr>
          <w:b/>
          <w:sz w:val="26"/>
          <w:szCs w:val="26"/>
          <w:lang w:val="uk-UA"/>
        </w:rPr>
        <w:t>Olena Lopata,</w:t>
      </w:r>
    </w:p>
    <w:p w:rsidR="003246C3" w:rsidRPr="001979D2" w:rsidRDefault="003246C3" w:rsidP="003246C3">
      <w:pPr>
        <w:pStyle w:val="Style58"/>
        <w:rPr>
          <w:sz w:val="26"/>
          <w:szCs w:val="26"/>
          <w:lang w:val="uk-UA"/>
        </w:rPr>
      </w:pPr>
      <w:r w:rsidRPr="001979D2">
        <w:rPr>
          <w:sz w:val="26"/>
          <w:szCs w:val="26"/>
          <w:lang w:val="uk-UA"/>
        </w:rPr>
        <w:t xml:space="preserve">ORCID </w:t>
      </w:r>
      <w:hyperlink r:id="rId6" w:history="1">
        <w:r w:rsidRPr="001979D2">
          <w:rPr>
            <w:rFonts w:eastAsia="Calibri"/>
            <w:sz w:val="26"/>
            <w:szCs w:val="26"/>
            <w:lang w:val="uk-UA"/>
          </w:rPr>
          <w:t>https://orcid.org/0000-0002-1386-3409</w:t>
        </w:r>
      </w:hyperlink>
      <w:r w:rsidRPr="001979D2">
        <w:rPr>
          <w:sz w:val="26"/>
          <w:szCs w:val="26"/>
          <w:lang w:val="uk-UA"/>
        </w:rPr>
        <w:t xml:space="preserve">, </w:t>
      </w:r>
    </w:p>
    <w:p w:rsidR="003246C3" w:rsidRPr="001979D2" w:rsidRDefault="003246C3" w:rsidP="003246C3">
      <w:pPr>
        <w:pStyle w:val="Style58"/>
        <w:rPr>
          <w:sz w:val="26"/>
          <w:szCs w:val="26"/>
          <w:lang w:val="uk-UA"/>
        </w:rPr>
      </w:pPr>
      <w:r w:rsidRPr="001979D2">
        <w:rPr>
          <w:sz w:val="26"/>
          <w:szCs w:val="26"/>
          <w:lang w:val="uk-UA"/>
        </w:rPr>
        <w:t>Junior Research Associate,</w:t>
      </w:r>
    </w:p>
    <w:p w:rsidR="003246C3" w:rsidRPr="001979D2" w:rsidRDefault="003246C3" w:rsidP="003246C3">
      <w:pPr>
        <w:pStyle w:val="Style58"/>
        <w:rPr>
          <w:sz w:val="26"/>
          <w:szCs w:val="26"/>
          <w:lang w:val="uk-UA"/>
        </w:rPr>
      </w:pPr>
      <w:r w:rsidRPr="001979D2">
        <w:rPr>
          <w:sz w:val="26"/>
          <w:szCs w:val="26"/>
          <w:lang w:val="uk-UA"/>
        </w:rPr>
        <w:t>Service Sector in the Reading Halls of Periodicals,</w:t>
      </w:r>
    </w:p>
    <w:p w:rsidR="003246C3" w:rsidRPr="001979D2" w:rsidRDefault="003246C3" w:rsidP="003246C3">
      <w:pPr>
        <w:pStyle w:val="Style58"/>
        <w:rPr>
          <w:sz w:val="26"/>
          <w:szCs w:val="26"/>
          <w:lang w:val="uk-UA"/>
        </w:rPr>
      </w:pPr>
      <w:r w:rsidRPr="001979D2">
        <w:rPr>
          <w:sz w:val="26"/>
          <w:szCs w:val="26"/>
          <w:lang w:val="uk-UA"/>
        </w:rPr>
        <w:t>Department of the Complex Library Services,</w:t>
      </w:r>
    </w:p>
    <w:p w:rsidR="003246C3" w:rsidRPr="001979D2" w:rsidRDefault="003246C3" w:rsidP="003246C3">
      <w:pPr>
        <w:pStyle w:val="Style58"/>
        <w:rPr>
          <w:sz w:val="26"/>
          <w:szCs w:val="26"/>
          <w:lang w:val="uk-UA"/>
        </w:rPr>
      </w:pPr>
      <w:r w:rsidRPr="001979D2">
        <w:rPr>
          <w:sz w:val="26"/>
          <w:szCs w:val="26"/>
          <w:lang w:val="uk-UA"/>
        </w:rPr>
        <w:t>V. I. Vernadskyi National Library of Ukraine,</w:t>
      </w:r>
    </w:p>
    <w:p w:rsidR="003246C3" w:rsidRPr="001979D2" w:rsidRDefault="003246C3" w:rsidP="003246C3">
      <w:pPr>
        <w:pStyle w:val="Style58"/>
        <w:rPr>
          <w:sz w:val="26"/>
          <w:szCs w:val="26"/>
          <w:lang w:val="uk-UA"/>
        </w:rPr>
      </w:pPr>
      <w:r w:rsidRPr="001979D2">
        <w:rPr>
          <w:sz w:val="26"/>
          <w:szCs w:val="26"/>
          <w:lang w:val="uk-UA"/>
        </w:rPr>
        <w:t>Kyiv, Ukraine</w:t>
      </w:r>
    </w:p>
    <w:p w:rsidR="003246C3" w:rsidRPr="001979D2" w:rsidRDefault="003246C3" w:rsidP="003246C3">
      <w:pPr>
        <w:pStyle w:val="Style58"/>
        <w:rPr>
          <w:rFonts w:eastAsia="Calibri"/>
          <w:sz w:val="26"/>
          <w:szCs w:val="26"/>
          <w:lang w:val="uk-UA"/>
        </w:rPr>
      </w:pPr>
      <w:r w:rsidRPr="001979D2">
        <w:rPr>
          <w:sz w:val="26"/>
          <w:szCs w:val="26"/>
          <w:lang w:val="uk-UA"/>
        </w:rPr>
        <w:t xml:space="preserve">e-mail: </w:t>
      </w:r>
      <w:hyperlink r:id="rId7" w:history="1">
        <w:r w:rsidRPr="001979D2">
          <w:rPr>
            <w:rFonts w:eastAsia="Calibri"/>
            <w:sz w:val="26"/>
            <w:szCs w:val="26"/>
            <w:lang w:val="uk-UA"/>
          </w:rPr>
          <w:t>el99886@ukr.net</w:t>
        </w:r>
      </w:hyperlink>
      <w:r w:rsidRPr="001979D2">
        <w:rPr>
          <w:rFonts w:eastAsia="Calibri"/>
          <w:sz w:val="26"/>
          <w:szCs w:val="26"/>
          <w:lang w:val="uk-UA"/>
        </w:rPr>
        <w:t xml:space="preserve"> </w:t>
      </w:r>
    </w:p>
    <w:p w:rsidR="003246C3" w:rsidRPr="001979D2" w:rsidRDefault="003246C3" w:rsidP="003246C3">
      <w:pPr>
        <w:pStyle w:val="Style58"/>
        <w:rPr>
          <w:sz w:val="28"/>
          <w:szCs w:val="28"/>
          <w:lang w:val="uk-UA"/>
        </w:rPr>
      </w:pPr>
    </w:p>
    <w:p w:rsidR="003246C3" w:rsidRPr="001979D2" w:rsidRDefault="003246C3" w:rsidP="003246C3">
      <w:pPr>
        <w:pStyle w:val="Style58"/>
        <w:jc w:val="center"/>
        <w:rPr>
          <w:rFonts w:eastAsia="Calibri"/>
          <w:b/>
          <w:sz w:val="28"/>
          <w:szCs w:val="28"/>
          <w:lang w:val="uk-UA"/>
        </w:rPr>
      </w:pPr>
      <w:r w:rsidRPr="001979D2">
        <w:rPr>
          <w:rFonts w:eastAsia="Calibri"/>
          <w:b/>
          <w:sz w:val="28"/>
          <w:szCs w:val="28"/>
          <w:lang w:val="uk-UA"/>
        </w:rPr>
        <w:t>Main aspects of the evolution of public access in National libraries (on materials of the coordination directives of international library institutions)</w:t>
      </w:r>
    </w:p>
    <w:p w:rsidR="003246C3" w:rsidRPr="001979D2" w:rsidRDefault="003246C3" w:rsidP="003246C3">
      <w:pPr>
        <w:pStyle w:val="Style58"/>
        <w:rPr>
          <w:rFonts w:eastAsia="Calibri"/>
          <w:sz w:val="28"/>
          <w:szCs w:val="28"/>
          <w:lang w:val="uk-UA"/>
        </w:rPr>
      </w:pPr>
    </w:p>
    <w:p w:rsidR="003246C3" w:rsidRPr="001979D2" w:rsidRDefault="003246C3" w:rsidP="003246C3">
      <w:pPr>
        <w:pStyle w:val="Style58"/>
        <w:rPr>
          <w:rFonts w:eastAsia="Calibri"/>
          <w:sz w:val="26"/>
          <w:szCs w:val="26"/>
          <w:lang w:val="uk-UA"/>
        </w:rPr>
      </w:pPr>
      <w:r w:rsidRPr="001979D2">
        <w:rPr>
          <w:rFonts w:eastAsia="Calibri"/>
          <w:sz w:val="26"/>
          <w:szCs w:val="26"/>
          <w:lang w:val="uk-UA"/>
        </w:rPr>
        <w:t>The final documents of the IFLA, WSIS, EIFL, DC-PAL and</w:t>
      </w:r>
      <w:r w:rsidRPr="001979D2">
        <w:rPr>
          <w:sz w:val="26"/>
          <w:szCs w:val="26"/>
          <w:lang w:val="uk-UA"/>
        </w:rPr>
        <w:t xml:space="preserve"> UNESCO</w:t>
      </w:r>
      <w:r w:rsidRPr="001979D2">
        <w:rPr>
          <w:rFonts w:eastAsia="Calibri"/>
          <w:sz w:val="26"/>
          <w:szCs w:val="26"/>
          <w:lang w:val="uk-UA"/>
        </w:rPr>
        <w:t xml:space="preserve"> regarding the adoption of the resolution of the World Summit on the Information Society: 20-year review (WSIS+20) are analyzed. The main results of the survey and of the practice of using the collection of foreign electronic resources of the NBUV are presented.</w:t>
      </w:r>
    </w:p>
    <w:p w:rsidR="003246C3" w:rsidRPr="001979D2" w:rsidRDefault="003246C3" w:rsidP="003246C3">
      <w:pPr>
        <w:pStyle w:val="Style58"/>
        <w:rPr>
          <w:sz w:val="26"/>
          <w:szCs w:val="26"/>
          <w:lang w:val="uk-UA"/>
        </w:rPr>
      </w:pPr>
      <w:r w:rsidRPr="001979D2">
        <w:rPr>
          <w:i/>
          <w:sz w:val="26"/>
          <w:szCs w:val="26"/>
          <w:lang w:val="uk-UA"/>
        </w:rPr>
        <w:t>Keywords</w:t>
      </w:r>
      <w:r w:rsidRPr="001979D2">
        <w:rPr>
          <w:sz w:val="26"/>
          <w:szCs w:val="26"/>
          <w:lang w:val="uk-UA"/>
        </w:rPr>
        <w:t>: public access, digital collections, library in information society, instructions on library activity, IFLA, WSIS, DC-PAL, research.</w:t>
      </w:r>
    </w:p>
    <w:p w:rsidR="0080718D" w:rsidRDefault="0080718D">
      <w:bookmarkStart w:id="2" w:name="_GoBack"/>
      <w:bookmarkEnd w:id="2"/>
    </w:p>
    <w:sectPr w:rsidR="00807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B6"/>
    <w:rsid w:val="003246C3"/>
    <w:rsid w:val="0080718D"/>
    <w:rsid w:val="00CC2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0F4E9-8DBF-474F-83AA-9753CC23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6C3"/>
    <w:pPr>
      <w:spacing w:after="0" w:line="240" w:lineRule="auto"/>
      <w:ind w:firstLine="567"/>
      <w:jc w:val="both"/>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246C3"/>
    <w:rPr>
      <w:rFonts w:cs="Times New Roman"/>
      <w:color w:val="0000FF"/>
      <w:u w:val="single"/>
    </w:rPr>
  </w:style>
  <w:style w:type="paragraph" w:customStyle="1" w:styleId="Style58">
    <w:name w:val="Style58"/>
    <w:qFormat/>
    <w:rsid w:val="003246C3"/>
    <w:pPr>
      <w:widowControl w:val="0"/>
      <w:spacing w:after="0" w:line="240" w:lineRule="auto"/>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l99886@uk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1386-3409" TargetMode="External"/><Relationship Id="rId5" Type="http://schemas.openxmlformats.org/officeDocument/2006/relationships/hyperlink" Target="mailto:el99886@ukr.net" TargetMode="External"/><Relationship Id="rId4" Type="http://schemas.openxmlformats.org/officeDocument/2006/relationships/hyperlink" Target="https://orcid.org/0000-0002-1386-340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9887</Characters>
  <Application>Microsoft Office Word</Application>
  <DocSecurity>0</DocSecurity>
  <Lines>82</Lines>
  <Paragraphs>23</Paragraphs>
  <ScaleCrop>false</ScaleCrop>
  <Company/>
  <LinksUpToDate>false</LinksUpToDate>
  <CharactersWithSpaces>11598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2025-09-29T17:26:00Z</dcterms:created>
  <dcterms:modified xsi:type="dcterms:W3CDTF">2025-09-29T17:26:00Z</dcterms:modified>
</cp:coreProperties>
</file>