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BA5FC" w14:textId="77777777" w:rsidR="003C61AF" w:rsidRPr="003D0345" w:rsidRDefault="00000000">
      <w:pPr>
        <w:spacing w:line="360" w:lineRule="auto"/>
        <w:rPr>
          <w:lang w:val="uk-UA"/>
        </w:rPr>
      </w:pPr>
      <w:r w:rsidRPr="003D0345">
        <w:rPr>
          <w:b/>
          <w:bCs/>
          <w:sz w:val="28"/>
          <w:szCs w:val="28"/>
          <w:lang w:val="uk-UA"/>
        </w:rPr>
        <w:t>Охріменко Олександр Святославович,</w:t>
      </w:r>
    </w:p>
    <w:p w14:paraId="457D1224" w14:textId="31DDA68C" w:rsidR="008B0350" w:rsidRPr="008B0350" w:rsidRDefault="00000000">
      <w:pPr>
        <w:spacing w:line="360" w:lineRule="auto"/>
        <w:rPr>
          <w:sz w:val="28"/>
          <w:szCs w:val="28"/>
        </w:rPr>
      </w:pPr>
      <w:r w:rsidRPr="003D0345">
        <w:rPr>
          <w:sz w:val="28"/>
          <w:szCs w:val="28"/>
          <w:lang w:val="uk-UA"/>
        </w:rPr>
        <w:t xml:space="preserve">ORCID </w:t>
      </w:r>
      <w:hyperlink r:id="rId5" w:history="1">
        <w:r w:rsidR="008B0350" w:rsidRPr="002C7947">
          <w:rPr>
            <w:rStyle w:val="Hyperlink"/>
            <w:sz w:val="28"/>
            <w:szCs w:val="28"/>
            <w:lang w:val="uk-UA"/>
          </w:rPr>
          <w:t>https://orcid.org/0000-0002-56</w:t>
        </w:r>
        <w:r w:rsidR="008B0350" w:rsidRPr="002C7947">
          <w:rPr>
            <w:rStyle w:val="Hyperlink"/>
            <w:sz w:val="28"/>
            <w:szCs w:val="28"/>
            <w:lang w:val="uk-UA"/>
          </w:rPr>
          <w:t>4</w:t>
        </w:r>
        <w:r w:rsidR="008B0350" w:rsidRPr="002C7947">
          <w:rPr>
            <w:rStyle w:val="Hyperlink"/>
            <w:sz w:val="28"/>
            <w:szCs w:val="28"/>
            <w:lang w:val="uk-UA"/>
          </w:rPr>
          <w:t>6-4133</w:t>
        </w:r>
      </w:hyperlink>
      <w:r w:rsidR="008B0350">
        <w:rPr>
          <w:sz w:val="28"/>
          <w:szCs w:val="28"/>
        </w:rPr>
        <w:t>,</w:t>
      </w:r>
    </w:p>
    <w:p w14:paraId="34E2377D" w14:textId="77777777" w:rsidR="003C61AF" w:rsidRPr="003D0345" w:rsidRDefault="00000000">
      <w:pPr>
        <w:spacing w:line="360" w:lineRule="auto"/>
        <w:rPr>
          <w:lang w:val="uk-UA"/>
        </w:rPr>
      </w:pPr>
      <w:r w:rsidRPr="003D0345">
        <w:rPr>
          <w:sz w:val="28"/>
          <w:szCs w:val="28"/>
          <w:lang w:val="uk-UA"/>
        </w:rPr>
        <w:t>кандидат історичних наук,</w:t>
      </w:r>
    </w:p>
    <w:p w14:paraId="65777559" w14:textId="77777777" w:rsidR="003C61AF" w:rsidRPr="003D0345" w:rsidRDefault="00000000">
      <w:pPr>
        <w:spacing w:line="360" w:lineRule="auto"/>
        <w:rPr>
          <w:lang w:val="uk-UA"/>
        </w:rPr>
      </w:pPr>
      <w:r w:rsidRPr="003D0345">
        <w:rPr>
          <w:sz w:val="28"/>
          <w:szCs w:val="28"/>
          <w:lang w:val="uk-UA"/>
        </w:rPr>
        <w:t>науковий співробітник,</w:t>
      </w:r>
    </w:p>
    <w:p w14:paraId="32DDC75A" w14:textId="77777777" w:rsidR="003C61AF" w:rsidRPr="003D0345" w:rsidRDefault="00000000">
      <w:pPr>
        <w:spacing w:line="360" w:lineRule="auto"/>
        <w:rPr>
          <w:lang w:val="uk-UA"/>
        </w:rPr>
      </w:pPr>
      <w:r w:rsidRPr="003D0345">
        <w:rPr>
          <w:sz w:val="28"/>
          <w:szCs w:val="28"/>
          <w:lang w:val="uk-UA"/>
        </w:rPr>
        <w:t>Університет Бірмінгема,</w:t>
      </w:r>
    </w:p>
    <w:p w14:paraId="01359061" w14:textId="77777777" w:rsidR="003C61AF" w:rsidRPr="003D0345" w:rsidRDefault="00000000">
      <w:pPr>
        <w:spacing w:line="360" w:lineRule="auto"/>
        <w:rPr>
          <w:lang w:val="uk-UA"/>
        </w:rPr>
      </w:pPr>
      <w:r w:rsidRPr="003D0345">
        <w:rPr>
          <w:sz w:val="28"/>
          <w:szCs w:val="28"/>
          <w:lang w:val="uk-UA"/>
        </w:rPr>
        <w:t>Бірмінгем, Велика Британія</w:t>
      </w:r>
    </w:p>
    <w:p w14:paraId="7EF0940E" w14:textId="612DEBDC" w:rsidR="003C61AF" w:rsidRDefault="00000000">
      <w:pPr>
        <w:spacing w:line="360" w:lineRule="auto"/>
        <w:rPr>
          <w:sz w:val="28"/>
          <w:szCs w:val="28"/>
        </w:rPr>
      </w:pPr>
      <w:r w:rsidRPr="003D0345">
        <w:rPr>
          <w:sz w:val="28"/>
          <w:szCs w:val="28"/>
          <w:lang w:val="uk-UA"/>
        </w:rPr>
        <w:t>e-</w:t>
      </w:r>
      <w:proofErr w:type="spellStart"/>
      <w:r w:rsidRPr="003D0345">
        <w:rPr>
          <w:sz w:val="28"/>
          <w:szCs w:val="28"/>
          <w:lang w:val="uk-UA"/>
        </w:rPr>
        <w:t>mail</w:t>
      </w:r>
      <w:proofErr w:type="spellEnd"/>
      <w:r w:rsidRPr="003D0345">
        <w:rPr>
          <w:sz w:val="28"/>
          <w:szCs w:val="28"/>
          <w:lang w:val="uk-UA"/>
        </w:rPr>
        <w:t xml:space="preserve">: </w:t>
      </w:r>
      <w:hyperlink r:id="rId6" w:history="1">
        <w:r w:rsidR="008B0350" w:rsidRPr="002C7947">
          <w:rPr>
            <w:rStyle w:val="Hyperlink"/>
            <w:sz w:val="28"/>
            <w:szCs w:val="28"/>
            <w:lang w:val="uk-UA"/>
          </w:rPr>
          <w:t>o.okhrimenko@bham.ac.uk</w:t>
        </w:r>
      </w:hyperlink>
    </w:p>
    <w:p w14:paraId="6E6CCD7A" w14:textId="77777777" w:rsidR="003C61AF" w:rsidRPr="008B0350" w:rsidRDefault="003C61AF">
      <w:pPr>
        <w:spacing w:line="360" w:lineRule="auto"/>
      </w:pPr>
    </w:p>
    <w:p w14:paraId="5F13B861" w14:textId="77777777" w:rsidR="003C61AF" w:rsidRPr="003D0345" w:rsidRDefault="00000000">
      <w:pPr>
        <w:spacing w:line="360" w:lineRule="auto"/>
        <w:jc w:val="center"/>
        <w:rPr>
          <w:lang w:val="uk-UA"/>
        </w:rPr>
      </w:pPr>
      <w:r w:rsidRPr="003D0345">
        <w:rPr>
          <w:b/>
          <w:bCs/>
          <w:sz w:val="28"/>
          <w:szCs w:val="28"/>
          <w:lang w:val="uk-UA"/>
        </w:rPr>
        <w:t>Примірник Острозької Біблії з бібліотеки Сент-</w:t>
      </w:r>
      <w:proofErr w:type="spellStart"/>
      <w:r w:rsidRPr="003D0345">
        <w:rPr>
          <w:b/>
          <w:bCs/>
          <w:sz w:val="28"/>
          <w:szCs w:val="28"/>
          <w:lang w:val="uk-UA"/>
        </w:rPr>
        <w:t>Ендрюського</w:t>
      </w:r>
      <w:proofErr w:type="spellEnd"/>
      <w:r w:rsidRPr="003D0345">
        <w:rPr>
          <w:b/>
          <w:bCs/>
          <w:sz w:val="28"/>
          <w:szCs w:val="28"/>
          <w:lang w:val="uk-UA"/>
        </w:rPr>
        <w:t xml:space="preserve"> університету: до історіографії питання (1970–2026)</w:t>
      </w:r>
    </w:p>
    <w:p w14:paraId="12955335" w14:textId="77777777" w:rsidR="003C61AF" w:rsidRPr="003D0345" w:rsidRDefault="003C61AF">
      <w:pPr>
        <w:spacing w:line="360" w:lineRule="auto"/>
        <w:rPr>
          <w:lang w:val="uk-UA"/>
        </w:rPr>
      </w:pPr>
    </w:p>
    <w:p w14:paraId="05A5D64C" w14:textId="560054FB" w:rsidR="003C61AF" w:rsidRPr="003D0345" w:rsidRDefault="008B0350">
      <w:pPr>
        <w:spacing w:line="360" w:lineRule="auto"/>
        <w:jc w:val="both"/>
        <w:rPr>
          <w:lang w:val="uk-UA"/>
        </w:rPr>
      </w:pPr>
      <w:r>
        <w:rPr>
          <w:sz w:val="28"/>
          <w:szCs w:val="28"/>
          <w:lang w:val="uk-UA"/>
        </w:rPr>
        <w:t>Тези</w:t>
      </w:r>
      <w:r w:rsidR="00000000" w:rsidRPr="003D0345">
        <w:rPr>
          <w:sz w:val="28"/>
          <w:szCs w:val="28"/>
          <w:lang w:val="uk-UA"/>
        </w:rPr>
        <w:t xml:space="preserve"> присвячено історіографічному </w:t>
      </w:r>
      <w:r>
        <w:rPr>
          <w:sz w:val="28"/>
          <w:szCs w:val="28"/>
          <w:lang w:val="uk-UA"/>
        </w:rPr>
        <w:t>огляду</w:t>
      </w:r>
      <w:r w:rsidR="00000000" w:rsidRPr="003D0345">
        <w:rPr>
          <w:sz w:val="28"/>
          <w:szCs w:val="28"/>
          <w:lang w:val="uk-UA"/>
        </w:rPr>
        <w:t xml:space="preserve"> єдиного дослідження примірника Острозької Біблії (1580/1581) з бібліотеки Сент-</w:t>
      </w:r>
      <w:proofErr w:type="spellStart"/>
      <w:r w:rsidR="00000000" w:rsidRPr="003D0345">
        <w:rPr>
          <w:sz w:val="28"/>
          <w:szCs w:val="28"/>
          <w:lang w:val="uk-UA"/>
        </w:rPr>
        <w:t>Ендрюса</w:t>
      </w:r>
      <w:proofErr w:type="spellEnd"/>
      <w:r w:rsidR="00000000" w:rsidRPr="003D0345">
        <w:rPr>
          <w:sz w:val="28"/>
          <w:szCs w:val="28"/>
          <w:lang w:val="uk-UA"/>
        </w:rPr>
        <w:t xml:space="preserve"> (</w:t>
      </w:r>
      <w:proofErr w:type="spellStart"/>
      <w:r w:rsidR="00000000" w:rsidRPr="003D0345">
        <w:rPr>
          <w:sz w:val="28"/>
          <w:szCs w:val="28"/>
          <w:lang w:val="uk-UA"/>
        </w:rPr>
        <w:t>Christian</w:t>
      </w:r>
      <w:proofErr w:type="spellEnd"/>
      <w:r w:rsidR="00000000" w:rsidRPr="003D0345">
        <w:rPr>
          <w:sz w:val="28"/>
          <w:szCs w:val="28"/>
          <w:lang w:val="uk-UA"/>
        </w:rPr>
        <w:t xml:space="preserve">, </w:t>
      </w:r>
      <w:proofErr w:type="spellStart"/>
      <w:r w:rsidR="00000000" w:rsidRPr="003D0345">
        <w:rPr>
          <w:sz w:val="28"/>
          <w:szCs w:val="28"/>
          <w:lang w:val="uk-UA"/>
        </w:rPr>
        <w:t>Sullivan</w:t>
      </w:r>
      <w:proofErr w:type="spellEnd"/>
      <w:r w:rsidR="00000000" w:rsidRPr="003D0345">
        <w:rPr>
          <w:sz w:val="28"/>
          <w:szCs w:val="28"/>
          <w:lang w:val="uk-UA"/>
        </w:rPr>
        <w:t xml:space="preserve">, </w:t>
      </w:r>
      <w:proofErr w:type="spellStart"/>
      <w:r w:rsidR="00000000" w:rsidRPr="003D0345">
        <w:rPr>
          <w:sz w:val="28"/>
          <w:szCs w:val="28"/>
          <w:lang w:val="uk-UA"/>
        </w:rPr>
        <w:t>Simmons</w:t>
      </w:r>
      <w:proofErr w:type="spellEnd"/>
      <w:r w:rsidR="00000000" w:rsidRPr="003D0345">
        <w:rPr>
          <w:sz w:val="28"/>
          <w:szCs w:val="28"/>
          <w:lang w:val="uk-UA"/>
        </w:rPr>
        <w:t xml:space="preserve">, 1970). Розглянуто три аргументи: прочитання </w:t>
      </w:r>
      <w:proofErr w:type="spellStart"/>
      <w:r w:rsidR="00000000" w:rsidRPr="003D0345">
        <w:rPr>
          <w:sz w:val="28"/>
          <w:szCs w:val="28"/>
          <w:lang w:val="uk-UA"/>
        </w:rPr>
        <w:t>провеніенції</w:t>
      </w:r>
      <w:proofErr w:type="spellEnd"/>
      <w:r w:rsidR="00000000" w:rsidRPr="003D0345">
        <w:rPr>
          <w:sz w:val="28"/>
          <w:szCs w:val="28"/>
          <w:lang w:val="uk-UA"/>
        </w:rPr>
        <w:t xml:space="preserve"> та зв</w:t>
      </w:r>
      <w:r>
        <w:rPr>
          <w:sz w:val="28"/>
          <w:szCs w:val="28"/>
        </w:rPr>
        <w:t>’</w:t>
      </w:r>
      <w:proofErr w:type="spellStart"/>
      <w:r w:rsidR="00000000" w:rsidRPr="003D0345">
        <w:rPr>
          <w:sz w:val="28"/>
          <w:szCs w:val="28"/>
          <w:lang w:val="uk-UA"/>
        </w:rPr>
        <w:t>язок</w:t>
      </w:r>
      <w:proofErr w:type="spellEnd"/>
      <w:r w:rsidR="00000000" w:rsidRPr="003D0345">
        <w:rPr>
          <w:sz w:val="28"/>
          <w:szCs w:val="28"/>
          <w:lang w:val="uk-UA"/>
        </w:rPr>
        <w:t xml:space="preserve"> з українськими землями, дискусію щодо острозького чи вільнюського походження оправи, гіпотезу про власника Джона Джонстона. Обґрунтовано потребу нового дослідження з урахуванням сучасних студій про Івана Федоровича та книговидання в Острозі й Вільнюсі.</w:t>
      </w:r>
    </w:p>
    <w:p w14:paraId="461AE45F" w14:textId="77777777" w:rsidR="003C61AF" w:rsidRPr="003D0345" w:rsidRDefault="00000000">
      <w:pPr>
        <w:spacing w:line="360" w:lineRule="auto"/>
        <w:jc w:val="both"/>
        <w:rPr>
          <w:lang w:val="uk-UA"/>
        </w:rPr>
      </w:pPr>
      <w:r w:rsidRPr="003D0345">
        <w:rPr>
          <w:sz w:val="28"/>
          <w:szCs w:val="28"/>
          <w:lang w:val="uk-UA"/>
        </w:rPr>
        <w:t>Ключові слова: Острозька Біблія, Сент-</w:t>
      </w:r>
      <w:proofErr w:type="spellStart"/>
      <w:r w:rsidRPr="003D0345">
        <w:rPr>
          <w:sz w:val="28"/>
          <w:szCs w:val="28"/>
          <w:lang w:val="uk-UA"/>
        </w:rPr>
        <w:t>Ендрюс</w:t>
      </w:r>
      <w:proofErr w:type="spellEnd"/>
      <w:r w:rsidRPr="003D0345">
        <w:rPr>
          <w:sz w:val="28"/>
          <w:szCs w:val="28"/>
          <w:lang w:val="uk-UA"/>
        </w:rPr>
        <w:t xml:space="preserve">, </w:t>
      </w:r>
      <w:proofErr w:type="spellStart"/>
      <w:r w:rsidRPr="003D0345">
        <w:rPr>
          <w:sz w:val="28"/>
          <w:szCs w:val="28"/>
          <w:lang w:val="uk-UA"/>
        </w:rPr>
        <w:t>провеніенція</w:t>
      </w:r>
      <w:proofErr w:type="spellEnd"/>
      <w:r w:rsidRPr="003D0345">
        <w:rPr>
          <w:sz w:val="28"/>
          <w:szCs w:val="28"/>
          <w:lang w:val="uk-UA"/>
        </w:rPr>
        <w:t>, кирилична оправа, Іван Федорович, вільнюський книжковий осередок, історіографія, атрибуція власника.</w:t>
      </w:r>
    </w:p>
    <w:p w14:paraId="10B7E449" w14:textId="77777777" w:rsidR="003C61AF" w:rsidRPr="003D0345" w:rsidRDefault="003C61AF">
      <w:pPr>
        <w:spacing w:line="360" w:lineRule="auto"/>
        <w:rPr>
          <w:lang w:val="uk-UA"/>
        </w:rPr>
      </w:pPr>
    </w:p>
    <w:p w14:paraId="79BD7AD7" w14:textId="15A663BC" w:rsidR="003C61AF" w:rsidRPr="003D0345" w:rsidRDefault="00000000">
      <w:pPr>
        <w:spacing w:line="360" w:lineRule="auto"/>
        <w:ind w:firstLine="709"/>
        <w:jc w:val="both"/>
        <w:rPr>
          <w:lang w:val="uk-UA"/>
        </w:rPr>
      </w:pPr>
      <w:r w:rsidRPr="003D0345">
        <w:rPr>
          <w:sz w:val="28"/>
          <w:szCs w:val="28"/>
          <w:lang w:val="uk-UA"/>
        </w:rPr>
        <w:t>Примірник Острозької Біблії (1580/1581) з бібліотеки Сент-</w:t>
      </w:r>
      <w:proofErr w:type="spellStart"/>
      <w:r w:rsidRPr="003D0345">
        <w:rPr>
          <w:sz w:val="28"/>
          <w:szCs w:val="28"/>
          <w:lang w:val="uk-UA"/>
        </w:rPr>
        <w:t>Ендрюського</w:t>
      </w:r>
      <w:proofErr w:type="spellEnd"/>
      <w:r w:rsidRPr="003D0345">
        <w:rPr>
          <w:sz w:val="28"/>
          <w:szCs w:val="28"/>
          <w:lang w:val="uk-UA"/>
        </w:rPr>
        <w:t xml:space="preserve"> університету (</w:t>
      </w:r>
      <w:proofErr w:type="spellStart"/>
      <w:r w:rsidRPr="003D0345">
        <w:rPr>
          <w:sz w:val="28"/>
          <w:szCs w:val="28"/>
          <w:lang w:val="uk-UA"/>
        </w:rPr>
        <w:t>Bib</w:t>
      </w:r>
      <w:proofErr w:type="spellEnd"/>
      <w:r w:rsidRPr="003D0345">
        <w:rPr>
          <w:sz w:val="28"/>
          <w:szCs w:val="28"/>
          <w:lang w:val="uk-UA"/>
        </w:rPr>
        <w:t xml:space="preserve"> BS110.B81) є предметом єдиного спеціального дослідження, опублікованого понад пів століття тому (</w:t>
      </w:r>
      <w:proofErr w:type="spellStart"/>
      <w:r w:rsidRPr="003D0345">
        <w:rPr>
          <w:sz w:val="28"/>
          <w:szCs w:val="28"/>
          <w:lang w:val="uk-UA"/>
        </w:rPr>
        <w:t>Christian</w:t>
      </w:r>
      <w:proofErr w:type="spellEnd"/>
      <w:r w:rsidRPr="003D0345">
        <w:rPr>
          <w:sz w:val="28"/>
          <w:szCs w:val="28"/>
          <w:lang w:val="uk-UA"/>
        </w:rPr>
        <w:t xml:space="preserve">, </w:t>
      </w:r>
      <w:proofErr w:type="spellStart"/>
      <w:r w:rsidRPr="003D0345">
        <w:rPr>
          <w:sz w:val="28"/>
          <w:szCs w:val="28"/>
          <w:lang w:val="uk-UA"/>
        </w:rPr>
        <w:t>Sullivan</w:t>
      </w:r>
      <w:proofErr w:type="spellEnd"/>
      <w:r w:rsidRPr="003D0345">
        <w:rPr>
          <w:sz w:val="28"/>
          <w:szCs w:val="28"/>
          <w:lang w:val="uk-UA"/>
        </w:rPr>
        <w:t xml:space="preserve">, </w:t>
      </w:r>
      <w:proofErr w:type="spellStart"/>
      <w:r w:rsidRPr="003D0345">
        <w:rPr>
          <w:sz w:val="28"/>
          <w:szCs w:val="28"/>
          <w:lang w:val="uk-UA"/>
        </w:rPr>
        <w:t>Simmons</w:t>
      </w:r>
      <w:proofErr w:type="spellEnd"/>
      <w:r w:rsidRPr="003D0345">
        <w:rPr>
          <w:sz w:val="28"/>
          <w:szCs w:val="28"/>
          <w:lang w:val="uk-UA"/>
        </w:rPr>
        <w:t>, 1970). Відтоді жодної нової студії цього примірника не з</w:t>
      </w:r>
      <w:r w:rsidR="008B0350">
        <w:rPr>
          <w:sz w:val="28"/>
          <w:szCs w:val="28"/>
        </w:rPr>
        <w:t>’</w:t>
      </w:r>
      <w:r w:rsidRPr="003D0345">
        <w:rPr>
          <w:sz w:val="28"/>
          <w:szCs w:val="28"/>
          <w:lang w:val="uk-UA"/>
        </w:rPr>
        <w:t xml:space="preserve">явилося, попри суттєвий розвиток вивчення діяльності Івана Федоровича, острозького та вільнюського осередків кириличного книговидання, а також методології </w:t>
      </w:r>
      <w:proofErr w:type="spellStart"/>
      <w:r w:rsidRPr="003D0345">
        <w:rPr>
          <w:sz w:val="28"/>
          <w:szCs w:val="28"/>
          <w:lang w:val="uk-UA"/>
        </w:rPr>
        <w:t>провеніенційних</w:t>
      </w:r>
      <w:proofErr w:type="spellEnd"/>
      <w:r w:rsidRPr="003D0345">
        <w:rPr>
          <w:sz w:val="28"/>
          <w:szCs w:val="28"/>
          <w:lang w:val="uk-UA"/>
        </w:rPr>
        <w:t xml:space="preserve"> і </w:t>
      </w:r>
      <w:proofErr w:type="spellStart"/>
      <w:r w:rsidRPr="003D0345">
        <w:rPr>
          <w:sz w:val="28"/>
          <w:szCs w:val="28"/>
          <w:lang w:val="uk-UA"/>
        </w:rPr>
        <w:t>кодикологічних</w:t>
      </w:r>
      <w:proofErr w:type="spellEnd"/>
      <w:r w:rsidRPr="003D0345">
        <w:rPr>
          <w:sz w:val="28"/>
          <w:szCs w:val="28"/>
          <w:lang w:val="uk-UA"/>
        </w:rPr>
        <w:t xml:space="preserve"> досліджень. Метою цих тез є історіографічний аналіз трьох ключових аргументів статті 1970 р. та окреслення напрямів для їх верифікації в світлі сучасного стану студій.</w:t>
      </w:r>
    </w:p>
    <w:p w14:paraId="751E7E64" w14:textId="37F29B47" w:rsidR="003C61AF" w:rsidRPr="003D0345" w:rsidRDefault="00000000">
      <w:pPr>
        <w:spacing w:line="360" w:lineRule="auto"/>
        <w:ind w:firstLine="709"/>
        <w:jc w:val="both"/>
        <w:rPr>
          <w:lang w:val="uk-UA"/>
        </w:rPr>
      </w:pPr>
      <w:r w:rsidRPr="003D0345">
        <w:rPr>
          <w:sz w:val="28"/>
          <w:szCs w:val="28"/>
          <w:lang w:val="uk-UA"/>
        </w:rPr>
        <w:lastRenderedPageBreak/>
        <w:t xml:space="preserve">Перший аргумент стосується прочитання власницького запису кінця XVI </w:t>
      </w:r>
      <w:r w:rsidR="00BA1990">
        <w:rPr>
          <w:sz w:val="28"/>
          <w:szCs w:val="28"/>
          <w:lang w:val="uk-UA"/>
        </w:rPr>
        <w:t>–</w:t>
      </w:r>
      <w:r w:rsidRPr="003D0345">
        <w:rPr>
          <w:sz w:val="28"/>
          <w:szCs w:val="28"/>
          <w:lang w:val="uk-UA"/>
        </w:rPr>
        <w:t xml:space="preserve"> початку XVII ст. на звороті аркуша з </w:t>
      </w:r>
      <w:proofErr w:type="spellStart"/>
      <w:r w:rsidRPr="003D0345">
        <w:rPr>
          <w:sz w:val="28"/>
          <w:szCs w:val="28"/>
          <w:lang w:val="uk-UA"/>
        </w:rPr>
        <w:t>колофоном</w:t>
      </w:r>
      <w:proofErr w:type="spellEnd"/>
      <w:r w:rsidRPr="003D0345">
        <w:rPr>
          <w:sz w:val="28"/>
          <w:szCs w:val="28"/>
          <w:lang w:val="uk-UA"/>
        </w:rPr>
        <w:t xml:space="preserve">: «Григорій Яковлев </w:t>
      </w:r>
      <w:proofErr w:type="spellStart"/>
      <w:r w:rsidRPr="003D0345">
        <w:rPr>
          <w:sz w:val="28"/>
          <w:szCs w:val="28"/>
          <w:lang w:val="uk-UA"/>
        </w:rPr>
        <w:t>Козлітін</w:t>
      </w:r>
      <w:proofErr w:type="spellEnd"/>
      <w:r w:rsidRPr="003D0345">
        <w:rPr>
          <w:sz w:val="28"/>
          <w:szCs w:val="28"/>
          <w:lang w:val="uk-UA"/>
        </w:rPr>
        <w:t xml:space="preserve"> продав цю книгу Смирному Захар</w:t>
      </w:r>
      <w:r w:rsidR="00320F97">
        <w:rPr>
          <w:sz w:val="28"/>
          <w:szCs w:val="28"/>
          <w:lang w:val="uk-UA"/>
        </w:rPr>
        <w:t>і</w:t>
      </w:r>
      <w:r w:rsidRPr="003D0345">
        <w:rPr>
          <w:sz w:val="28"/>
          <w:szCs w:val="28"/>
          <w:lang w:val="uk-UA"/>
        </w:rPr>
        <w:t xml:space="preserve">єву». Автори 1970 р. кваліфікували прізвище </w:t>
      </w:r>
      <w:proofErr w:type="spellStart"/>
      <w:r w:rsidRPr="003D0345">
        <w:rPr>
          <w:sz w:val="28"/>
          <w:szCs w:val="28"/>
          <w:lang w:val="uk-UA"/>
        </w:rPr>
        <w:t>Козлітін</w:t>
      </w:r>
      <w:proofErr w:type="spellEnd"/>
      <w:r w:rsidRPr="003D0345">
        <w:rPr>
          <w:sz w:val="28"/>
          <w:szCs w:val="28"/>
          <w:lang w:val="uk-UA"/>
        </w:rPr>
        <w:t xml:space="preserve"> як «</w:t>
      </w:r>
      <w:proofErr w:type="spellStart"/>
      <w:r w:rsidRPr="003D0345">
        <w:rPr>
          <w:sz w:val="28"/>
          <w:szCs w:val="28"/>
          <w:lang w:val="uk-UA"/>
        </w:rPr>
        <w:t>західно</w:t>
      </w:r>
      <w:proofErr w:type="spellEnd"/>
      <w:r w:rsidRPr="003D0345">
        <w:rPr>
          <w:sz w:val="28"/>
          <w:szCs w:val="28"/>
          <w:lang w:val="uk-UA"/>
        </w:rPr>
        <w:t>- або південно-</w:t>
      </w:r>
      <w:proofErr w:type="spellStart"/>
      <w:r w:rsidRPr="003D0345">
        <w:rPr>
          <w:sz w:val="28"/>
          <w:szCs w:val="28"/>
          <w:lang w:val="uk-UA"/>
        </w:rPr>
        <w:t>західноросійське</w:t>
      </w:r>
      <w:proofErr w:type="spellEnd"/>
      <w:r w:rsidRPr="003D0345">
        <w:rPr>
          <w:sz w:val="28"/>
          <w:szCs w:val="28"/>
          <w:lang w:val="uk-UA"/>
        </w:rPr>
        <w:t xml:space="preserve">», спираючись на єдину виявлену паралель </w:t>
      </w:r>
      <w:r w:rsidR="00BA1990">
        <w:rPr>
          <w:sz w:val="28"/>
          <w:szCs w:val="28"/>
          <w:lang w:val="uk-UA"/>
        </w:rPr>
        <w:t>–</w:t>
      </w:r>
      <w:r w:rsidRPr="003D0345">
        <w:rPr>
          <w:sz w:val="28"/>
          <w:szCs w:val="28"/>
          <w:lang w:val="uk-UA"/>
        </w:rPr>
        <w:t xml:space="preserve"> згадку про Микиту </w:t>
      </w:r>
      <w:proofErr w:type="spellStart"/>
      <w:r w:rsidRPr="003D0345">
        <w:rPr>
          <w:sz w:val="28"/>
          <w:szCs w:val="28"/>
          <w:lang w:val="uk-UA"/>
        </w:rPr>
        <w:t>Козлітіна</w:t>
      </w:r>
      <w:proofErr w:type="spellEnd"/>
      <w:r w:rsidRPr="003D0345">
        <w:rPr>
          <w:sz w:val="28"/>
          <w:szCs w:val="28"/>
          <w:lang w:val="uk-UA"/>
        </w:rPr>
        <w:t xml:space="preserve"> з Путивльського повіту в документі 1594 р. Показово, що дослідники фіксують український географічний контекст імені (Путивль), однак послідовно послуговуються терміном «російський» для його позначення </w:t>
      </w:r>
      <w:r w:rsidR="00BA1990">
        <w:rPr>
          <w:sz w:val="28"/>
          <w:szCs w:val="28"/>
          <w:lang w:val="uk-UA"/>
        </w:rPr>
        <w:t>–</w:t>
      </w:r>
      <w:r w:rsidRPr="003D0345">
        <w:rPr>
          <w:sz w:val="28"/>
          <w:szCs w:val="28"/>
          <w:lang w:val="uk-UA"/>
        </w:rPr>
        <w:t xml:space="preserve"> типовий приклад термінологічної практики британської бібліографії середини XX ст., яка не розрізняла українські, білоруські та власне російські землі в межах єдиної категорії «</w:t>
      </w:r>
      <w:proofErr w:type="spellStart"/>
      <w:r w:rsidRPr="003D0345">
        <w:rPr>
          <w:sz w:val="28"/>
          <w:szCs w:val="28"/>
          <w:lang w:val="uk-UA"/>
        </w:rPr>
        <w:t>Russian</w:t>
      </w:r>
      <w:proofErr w:type="spellEnd"/>
      <w:r w:rsidRPr="003D0345">
        <w:rPr>
          <w:sz w:val="28"/>
          <w:szCs w:val="28"/>
          <w:lang w:val="uk-UA"/>
        </w:rPr>
        <w:t>» чи «</w:t>
      </w:r>
      <w:proofErr w:type="spellStart"/>
      <w:r w:rsidRPr="003D0345">
        <w:rPr>
          <w:sz w:val="28"/>
          <w:szCs w:val="28"/>
          <w:lang w:val="uk-UA"/>
        </w:rPr>
        <w:t>Slavonic</w:t>
      </w:r>
      <w:proofErr w:type="spellEnd"/>
      <w:r w:rsidRPr="003D0345">
        <w:rPr>
          <w:sz w:val="28"/>
          <w:szCs w:val="28"/>
          <w:lang w:val="uk-UA"/>
        </w:rPr>
        <w:t xml:space="preserve">». Перегляд цього запису в категоріях сучасної історіографії </w:t>
      </w:r>
      <w:r w:rsidR="00BA1990">
        <w:rPr>
          <w:sz w:val="28"/>
          <w:szCs w:val="28"/>
          <w:lang w:val="uk-UA"/>
        </w:rPr>
        <w:t>–</w:t>
      </w:r>
      <w:r w:rsidRPr="003D0345">
        <w:rPr>
          <w:sz w:val="28"/>
          <w:szCs w:val="28"/>
          <w:lang w:val="uk-UA"/>
        </w:rPr>
        <w:t xml:space="preserve"> з увагою до українського контексту </w:t>
      </w:r>
      <w:proofErr w:type="spellStart"/>
      <w:r w:rsidRPr="003D0345">
        <w:rPr>
          <w:sz w:val="28"/>
          <w:szCs w:val="28"/>
          <w:lang w:val="uk-UA"/>
        </w:rPr>
        <w:t>Путивльщини</w:t>
      </w:r>
      <w:proofErr w:type="spellEnd"/>
      <w:r w:rsidRPr="003D0345">
        <w:rPr>
          <w:sz w:val="28"/>
          <w:szCs w:val="28"/>
          <w:lang w:val="uk-UA"/>
        </w:rPr>
        <w:t xml:space="preserve"> як прикордонної території між Річчю Посполитою і Московією </w:t>
      </w:r>
      <w:r w:rsidR="00BA1990">
        <w:rPr>
          <w:sz w:val="28"/>
          <w:szCs w:val="28"/>
          <w:lang w:val="uk-UA"/>
        </w:rPr>
        <w:t>–</w:t>
      </w:r>
      <w:r w:rsidRPr="003D0345">
        <w:rPr>
          <w:sz w:val="28"/>
          <w:szCs w:val="28"/>
          <w:lang w:val="uk-UA"/>
        </w:rPr>
        <w:t xml:space="preserve"> потребує окремої архівної верифікації.</w:t>
      </w:r>
    </w:p>
    <w:p w14:paraId="2DE3BEEF" w14:textId="78D3C820" w:rsidR="003C61AF" w:rsidRPr="003D0345" w:rsidRDefault="00000000">
      <w:pPr>
        <w:spacing w:line="360" w:lineRule="auto"/>
        <w:ind w:firstLine="709"/>
        <w:jc w:val="both"/>
        <w:rPr>
          <w:lang w:val="uk-UA"/>
        </w:rPr>
      </w:pPr>
      <w:r w:rsidRPr="003D0345">
        <w:rPr>
          <w:sz w:val="28"/>
          <w:szCs w:val="28"/>
          <w:lang w:val="uk-UA"/>
        </w:rPr>
        <w:t xml:space="preserve">Другий аргумент </w:t>
      </w:r>
      <w:r w:rsidR="00BA1990">
        <w:rPr>
          <w:sz w:val="28"/>
          <w:szCs w:val="28"/>
          <w:lang w:val="uk-UA"/>
        </w:rPr>
        <w:t>–</w:t>
      </w:r>
      <w:r w:rsidRPr="003D0345">
        <w:rPr>
          <w:sz w:val="28"/>
          <w:szCs w:val="28"/>
          <w:lang w:val="uk-UA"/>
        </w:rPr>
        <w:t xml:space="preserve"> атрибуція оправи. Дослідники визначили її як «майже напевно сучасну польську або литовську роботу», спираючись на комплекс ознак: водяні знаки паперу форзаців (герб </w:t>
      </w:r>
      <w:proofErr w:type="spellStart"/>
      <w:r w:rsidRPr="003D0345">
        <w:rPr>
          <w:sz w:val="28"/>
          <w:szCs w:val="28"/>
          <w:lang w:val="uk-UA"/>
        </w:rPr>
        <w:t>Лабендзь</w:t>
      </w:r>
      <w:proofErr w:type="spellEnd"/>
      <w:r w:rsidRPr="003D0345">
        <w:rPr>
          <w:sz w:val="28"/>
          <w:szCs w:val="28"/>
          <w:lang w:val="uk-UA"/>
        </w:rPr>
        <w:t>), паралельні литовським зразкам 1580-х рр., та тиснені медальйони німецького типу на нижній дошці. Однак остаточного розрізнення між острозьким і вільнюським походженням оправи автори не пропонують, обмежуючись альтернативою «</w:t>
      </w:r>
      <w:proofErr w:type="spellStart"/>
      <w:r w:rsidRPr="003D0345">
        <w:rPr>
          <w:sz w:val="28"/>
          <w:szCs w:val="28"/>
          <w:lang w:val="uk-UA"/>
        </w:rPr>
        <w:t>Polish</w:t>
      </w:r>
      <w:proofErr w:type="spellEnd"/>
      <w:r w:rsidRPr="003D0345">
        <w:rPr>
          <w:sz w:val="28"/>
          <w:szCs w:val="28"/>
          <w:lang w:val="uk-UA"/>
        </w:rPr>
        <w:t xml:space="preserve"> </w:t>
      </w:r>
      <w:proofErr w:type="spellStart"/>
      <w:r w:rsidRPr="003D0345">
        <w:rPr>
          <w:sz w:val="28"/>
          <w:szCs w:val="28"/>
          <w:lang w:val="uk-UA"/>
        </w:rPr>
        <w:t>or</w:t>
      </w:r>
      <w:proofErr w:type="spellEnd"/>
      <w:r w:rsidRPr="003D0345">
        <w:rPr>
          <w:sz w:val="28"/>
          <w:szCs w:val="28"/>
          <w:lang w:val="uk-UA"/>
        </w:rPr>
        <w:t xml:space="preserve"> </w:t>
      </w:r>
      <w:proofErr w:type="spellStart"/>
      <w:r w:rsidRPr="003D0345">
        <w:rPr>
          <w:sz w:val="28"/>
          <w:szCs w:val="28"/>
          <w:lang w:val="uk-UA"/>
        </w:rPr>
        <w:t>Lithuanian</w:t>
      </w:r>
      <w:proofErr w:type="spellEnd"/>
      <w:r w:rsidRPr="003D0345">
        <w:rPr>
          <w:sz w:val="28"/>
          <w:szCs w:val="28"/>
          <w:lang w:val="uk-UA"/>
        </w:rPr>
        <w:t>». Це питання набуває нової актуальності у зв</w:t>
      </w:r>
      <w:r w:rsidR="00320F97">
        <w:rPr>
          <w:sz w:val="28"/>
          <w:szCs w:val="28"/>
        </w:rPr>
        <w:t>’</w:t>
      </w:r>
      <w:proofErr w:type="spellStart"/>
      <w:r w:rsidRPr="003D0345">
        <w:rPr>
          <w:sz w:val="28"/>
          <w:szCs w:val="28"/>
          <w:lang w:val="uk-UA"/>
        </w:rPr>
        <w:t>язку</w:t>
      </w:r>
      <w:proofErr w:type="spellEnd"/>
      <w:r w:rsidRPr="003D0345">
        <w:rPr>
          <w:sz w:val="28"/>
          <w:szCs w:val="28"/>
          <w:lang w:val="uk-UA"/>
        </w:rPr>
        <w:t xml:space="preserve"> з нещодавнім дослідженням</w:t>
      </w:r>
      <w:r w:rsidR="00320F97">
        <w:rPr>
          <w:sz w:val="28"/>
          <w:szCs w:val="28"/>
        </w:rPr>
        <w:t xml:space="preserve"> </w:t>
      </w:r>
      <w:r w:rsidR="00320F97">
        <w:rPr>
          <w:sz w:val="28"/>
          <w:szCs w:val="28"/>
          <w:lang w:val="uk-UA"/>
        </w:rPr>
        <w:t xml:space="preserve">доктора Методія (Станіслава) </w:t>
      </w:r>
      <w:proofErr w:type="spellStart"/>
      <w:r w:rsidR="00320F97">
        <w:rPr>
          <w:sz w:val="28"/>
          <w:szCs w:val="28"/>
          <w:lang w:val="uk-UA"/>
        </w:rPr>
        <w:t>Волощенка</w:t>
      </w:r>
      <w:proofErr w:type="spellEnd"/>
      <w:r w:rsidR="00320F97">
        <w:rPr>
          <w:sz w:val="28"/>
          <w:szCs w:val="28"/>
          <w:lang w:val="uk-UA"/>
        </w:rPr>
        <w:t xml:space="preserve"> та</w:t>
      </w:r>
      <w:r w:rsidRPr="003D0345">
        <w:rPr>
          <w:sz w:val="28"/>
          <w:szCs w:val="28"/>
          <w:lang w:val="uk-UA"/>
        </w:rPr>
        <w:t xml:space="preserve"> автора цих тез аналогічного корпусу кириличних видань, подарованих англійським послом сером Річардом Лі </w:t>
      </w:r>
      <w:proofErr w:type="spellStart"/>
      <w:r w:rsidRPr="003D0345">
        <w:rPr>
          <w:sz w:val="28"/>
          <w:szCs w:val="28"/>
          <w:lang w:val="uk-UA"/>
        </w:rPr>
        <w:t>Бодлеянській</w:t>
      </w:r>
      <w:proofErr w:type="spellEnd"/>
      <w:r w:rsidRPr="003D0345">
        <w:rPr>
          <w:sz w:val="28"/>
          <w:szCs w:val="28"/>
          <w:lang w:val="uk-UA"/>
        </w:rPr>
        <w:t xml:space="preserve"> бібліотеці 1602 р. Порівняльний аналіз оправних матеріалів, тиснень та інструментів між </w:t>
      </w:r>
      <w:proofErr w:type="spellStart"/>
      <w:r w:rsidRPr="003D0345">
        <w:rPr>
          <w:sz w:val="28"/>
          <w:szCs w:val="28"/>
          <w:lang w:val="uk-UA"/>
        </w:rPr>
        <w:t>сент-ендрюським</w:t>
      </w:r>
      <w:proofErr w:type="spellEnd"/>
      <w:r w:rsidRPr="003D0345">
        <w:rPr>
          <w:sz w:val="28"/>
          <w:szCs w:val="28"/>
          <w:lang w:val="uk-UA"/>
        </w:rPr>
        <w:t xml:space="preserve"> і </w:t>
      </w:r>
      <w:proofErr w:type="spellStart"/>
      <w:r w:rsidRPr="003D0345">
        <w:rPr>
          <w:sz w:val="28"/>
          <w:szCs w:val="28"/>
          <w:lang w:val="uk-UA"/>
        </w:rPr>
        <w:t>бодлеянським</w:t>
      </w:r>
      <w:proofErr w:type="spellEnd"/>
      <w:r w:rsidRPr="003D0345">
        <w:rPr>
          <w:sz w:val="28"/>
          <w:szCs w:val="28"/>
          <w:lang w:val="uk-UA"/>
        </w:rPr>
        <w:t xml:space="preserve"> корпусами міг би уточнити географію поширення острозьких видань через</w:t>
      </w:r>
      <w:r w:rsidR="00320F97">
        <w:rPr>
          <w:sz w:val="28"/>
          <w:szCs w:val="28"/>
          <w:lang w:val="uk-UA"/>
        </w:rPr>
        <w:t>, можливо,</w:t>
      </w:r>
      <w:r w:rsidRPr="003D0345">
        <w:rPr>
          <w:sz w:val="28"/>
          <w:szCs w:val="28"/>
          <w:lang w:val="uk-UA"/>
        </w:rPr>
        <w:t xml:space="preserve"> вільнюський книжковий ринок кінця XVI ст.</w:t>
      </w:r>
    </w:p>
    <w:p w14:paraId="1520B35D" w14:textId="507DB607" w:rsidR="003C61AF" w:rsidRPr="003D0345" w:rsidRDefault="00000000">
      <w:pPr>
        <w:spacing w:line="360" w:lineRule="auto"/>
        <w:ind w:firstLine="709"/>
        <w:jc w:val="both"/>
        <w:rPr>
          <w:lang w:val="uk-UA"/>
        </w:rPr>
      </w:pPr>
      <w:r w:rsidRPr="003D0345">
        <w:rPr>
          <w:sz w:val="28"/>
          <w:szCs w:val="28"/>
          <w:lang w:val="uk-UA"/>
        </w:rPr>
        <w:t xml:space="preserve">Третій аргумент </w:t>
      </w:r>
      <w:r w:rsidR="00BA1990">
        <w:rPr>
          <w:sz w:val="28"/>
          <w:szCs w:val="28"/>
          <w:lang w:val="uk-UA"/>
        </w:rPr>
        <w:t>–</w:t>
      </w:r>
      <w:r w:rsidRPr="003D0345">
        <w:rPr>
          <w:sz w:val="28"/>
          <w:szCs w:val="28"/>
          <w:lang w:val="uk-UA"/>
        </w:rPr>
        <w:t xml:space="preserve"> гіпотеза про можливого власника примірника, висунута дослідниками з обережністю. Ідеться про Джона Джонстона (Яна </w:t>
      </w:r>
      <w:proofErr w:type="spellStart"/>
      <w:r w:rsidRPr="003D0345">
        <w:rPr>
          <w:sz w:val="28"/>
          <w:szCs w:val="28"/>
          <w:lang w:val="uk-UA"/>
        </w:rPr>
        <w:t>Йонстона</w:t>
      </w:r>
      <w:proofErr w:type="spellEnd"/>
      <w:r w:rsidRPr="003D0345">
        <w:rPr>
          <w:sz w:val="28"/>
          <w:szCs w:val="28"/>
          <w:lang w:val="uk-UA"/>
        </w:rPr>
        <w:t xml:space="preserve">, 1603–1675), польсько-шотландського </w:t>
      </w:r>
      <w:proofErr w:type="spellStart"/>
      <w:r w:rsidRPr="003D0345">
        <w:rPr>
          <w:sz w:val="28"/>
          <w:szCs w:val="28"/>
          <w:lang w:val="uk-UA"/>
        </w:rPr>
        <w:t>полігістора</w:t>
      </w:r>
      <w:proofErr w:type="spellEnd"/>
      <w:r w:rsidRPr="003D0345">
        <w:rPr>
          <w:sz w:val="28"/>
          <w:szCs w:val="28"/>
          <w:lang w:val="uk-UA"/>
        </w:rPr>
        <w:t xml:space="preserve">, який навчався в </w:t>
      </w:r>
      <w:r w:rsidR="00320F97">
        <w:rPr>
          <w:sz w:val="28"/>
          <w:szCs w:val="28"/>
          <w:lang w:val="uk-UA"/>
        </w:rPr>
        <w:t>Коледжі Святої Марії</w:t>
      </w:r>
      <w:r w:rsidRPr="003D0345">
        <w:rPr>
          <w:sz w:val="28"/>
          <w:szCs w:val="28"/>
          <w:lang w:val="uk-UA"/>
        </w:rPr>
        <w:t xml:space="preserve"> Сент-</w:t>
      </w:r>
      <w:proofErr w:type="spellStart"/>
      <w:r w:rsidRPr="003D0345">
        <w:rPr>
          <w:sz w:val="28"/>
          <w:szCs w:val="28"/>
          <w:lang w:val="uk-UA"/>
        </w:rPr>
        <w:t>Ендрюського</w:t>
      </w:r>
      <w:proofErr w:type="spellEnd"/>
      <w:r w:rsidRPr="003D0345">
        <w:rPr>
          <w:sz w:val="28"/>
          <w:szCs w:val="28"/>
          <w:lang w:val="uk-UA"/>
        </w:rPr>
        <w:t xml:space="preserve"> університету з 1623 р. і володів кількома </w:t>
      </w:r>
      <w:r w:rsidRPr="003D0345">
        <w:rPr>
          <w:sz w:val="28"/>
          <w:szCs w:val="28"/>
          <w:lang w:val="uk-UA"/>
        </w:rPr>
        <w:lastRenderedPageBreak/>
        <w:t xml:space="preserve">мовами, включно зі </w:t>
      </w:r>
      <w:proofErr w:type="spellStart"/>
      <w:r w:rsidRPr="003D0345">
        <w:rPr>
          <w:sz w:val="28"/>
          <w:szCs w:val="28"/>
          <w:lang w:val="uk-UA"/>
        </w:rPr>
        <w:t>слов</w:t>
      </w:r>
      <w:proofErr w:type="spellEnd"/>
      <w:r w:rsidR="00320F97">
        <w:rPr>
          <w:sz w:val="28"/>
          <w:szCs w:val="28"/>
        </w:rPr>
        <w:t>’</w:t>
      </w:r>
      <w:proofErr w:type="spellStart"/>
      <w:r w:rsidRPr="003D0345">
        <w:rPr>
          <w:sz w:val="28"/>
          <w:szCs w:val="28"/>
          <w:lang w:val="uk-UA"/>
        </w:rPr>
        <w:t>янською</w:t>
      </w:r>
      <w:proofErr w:type="spellEnd"/>
      <w:r w:rsidRPr="003D0345">
        <w:rPr>
          <w:sz w:val="28"/>
          <w:szCs w:val="28"/>
          <w:lang w:val="uk-UA"/>
        </w:rPr>
        <w:t>. Аргументація спирається на збіг маргінальних підкреслень у біблійному тексті (</w:t>
      </w:r>
      <w:proofErr w:type="spellStart"/>
      <w:r w:rsidRPr="003D0345">
        <w:rPr>
          <w:sz w:val="28"/>
          <w:szCs w:val="28"/>
          <w:lang w:val="uk-UA"/>
        </w:rPr>
        <w:t>tree</w:t>
      </w:r>
      <w:proofErr w:type="spellEnd"/>
      <w:r w:rsidRPr="003D0345">
        <w:rPr>
          <w:sz w:val="28"/>
          <w:szCs w:val="28"/>
          <w:lang w:val="uk-UA"/>
        </w:rPr>
        <w:t xml:space="preserve">, </w:t>
      </w:r>
      <w:proofErr w:type="spellStart"/>
      <w:r w:rsidRPr="003D0345">
        <w:rPr>
          <w:sz w:val="28"/>
          <w:szCs w:val="28"/>
          <w:lang w:val="uk-UA"/>
        </w:rPr>
        <w:t>herb</w:t>
      </w:r>
      <w:proofErr w:type="spellEnd"/>
      <w:r w:rsidRPr="003D0345">
        <w:rPr>
          <w:sz w:val="28"/>
          <w:szCs w:val="28"/>
          <w:lang w:val="uk-UA"/>
        </w:rPr>
        <w:t xml:space="preserve">, </w:t>
      </w:r>
      <w:proofErr w:type="spellStart"/>
      <w:r w:rsidRPr="003D0345">
        <w:rPr>
          <w:sz w:val="28"/>
          <w:szCs w:val="28"/>
          <w:lang w:val="uk-UA"/>
        </w:rPr>
        <w:t>serpents</w:t>
      </w:r>
      <w:proofErr w:type="spellEnd"/>
      <w:r w:rsidRPr="003D0345">
        <w:rPr>
          <w:sz w:val="28"/>
          <w:szCs w:val="28"/>
          <w:lang w:val="uk-UA"/>
        </w:rPr>
        <w:t xml:space="preserve">, </w:t>
      </w:r>
      <w:proofErr w:type="spellStart"/>
      <w:r w:rsidRPr="003D0345">
        <w:rPr>
          <w:sz w:val="28"/>
          <w:szCs w:val="28"/>
          <w:lang w:val="uk-UA"/>
        </w:rPr>
        <w:t>quadrupeds</w:t>
      </w:r>
      <w:proofErr w:type="spellEnd"/>
      <w:r w:rsidRPr="003D0345">
        <w:rPr>
          <w:sz w:val="28"/>
          <w:szCs w:val="28"/>
          <w:lang w:val="uk-UA"/>
        </w:rPr>
        <w:t xml:space="preserve">) з тематикою пізніших зоологічних і ботанічних трактатів Джонстона. Попри відсутність прямих документальних підтверджень, ця гіпотеза залишається неперевіреною і невідкинутою в подальшій літературі </w:t>
      </w:r>
      <w:r w:rsidR="00BA1990">
        <w:rPr>
          <w:sz w:val="28"/>
          <w:szCs w:val="28"/>
          <w:lang w:val="uk-UA"/>
        </w:rPr>
        <w:t>–</w:t>
      </w:r>
      <w:r w:rsidRPr="003D0345">
        <w:rPr>
          <w:sz w:val="28"/>
          <w:szCs w:val="28"/>
          <w:lang w:val="uk-UA"/>
        </w:rPr>
        <w:t xml:space="preserve"> саме тому, що подальшої літератури практично не існує.</w:t>
      </w:r>
    </w:p>
    <w:p w14:paraId="5847AD76" w14:textId="644C212A" w:rsidR="00547DF9" w:rsidRPr="00BA1990" w:rsidRDefault="00000000" w:rsidP="00BA1990">
      <w:pPr>
        <w:spacing w:line="360" w:lineRule="auto"/>
        <w:ind w:firstLine="709"/>
        <w:jc w:val="both"/>
        <w:rPr>
          <w:sz w:val="28"/>
          <w:szCs w:val="28"/>
        </w:rPr>
      </w:pPr>
      <w:r w:rsidRPr="003D0345">
        <w:rPr>
          <w:sz w:val="28"/>
          <w:szCs w:val="28"/>
          <w:lang w:val="uk-UA"/>
        </w:rPr>
        <w:t xml:space="preserve">Узагальнення трьох аргументів статті 1970 р. </w:t>
      </w:r>
      <w:r w:rsidR="00BA1990">
        <w:rPr>
          <w:sz w:val="28"/>
          <w:szCs w:val="28"/>
          <w:lang w:val="uk-UA"/>
        </w:rPr>
        <w:t>–</w:t>
      </w:r>
      <w:r w:rsidRPr="003D0345">
        <w:rPr>
          <w:sz w:val="28"/>
          <w:szCs w:val="28"/>
          <w:lang w:val="uk-UA"/>
        </w:rPr>
        <w:t xml:space="preserve"> </w:t>
      </w:r>
      <w:proofErr w:type="spellStart"/>
      <w:r w:rsidRPr="003D0345">
        <w:rPr>
          <w:sz w:val="28"/>
          <w:szCs w:val="28"/>
          <w:lang w:val="uk-UA"/>
        </w:rPr>
        <w:t>провеніенційного</w:t>
      </w:r>
      <w:proofErr w:type="spellEnd"/>
      <w:r w:rsidRPr="003D0345">
        <w:rPr>
          <w:sz w:val="28"/>
          <w:szCs w:val="28"/>
          <w:lang w:val="uk-UA"/>
        </w:rPr>
        <w:t xml:space="preserve">, </w:t>
      </w:r>
      <w:proofErr w:type="spellStart"/>
      <w:r w:rsidRPr="003D0345">
        <w:rPr>
          <w:sz w:val="28"/>
          <w:szCs w:val="28"/>
          <w:lang w:val="uk-UA"/>
        </w:rPr>
        <w:t>кодикологічного</w:t>
      </w:r>
      <w:proofErr w:type="spellEnd"/>
      <w:r w:rsidRPr="003D0345">
        <w:rPr>
          <w:sz w:val="28"/>
          <w:szCs w:val="28"/>
          <w:lang w:val="uk-UA"/>
        </w:rPr>
        <w:t xml:space="preserve"> (оправа) та біографічного (атрибуція власника) </w:t>
      </w:r>
      <w:r w:rsidR="00BA1990">
        <w:rPr>
          <w:sz w:val="28"/>
          <w:szCs w:val="28"/>
          <w:lang w:val="uk-UA"/>
        </w:rPr>
        <w:t>–</w:t>
      </w:r>
      <w:r w:rsidRPr="003D0345">
        <w:rPr>
          <w:sz w:val="28"/>
          <w:szCs w:val="28"/>
          <w:lang w:val="uk-UA"/>
        </w:rPr>
        <w:t xml:space="preserve"> демонструє, що жодна з висунутих гіпотез не отримала розвитку за понад п</w:t>
      </w:r>
      <w:r w:rsidR="00320F97">
        <w:rPr>
          <w:sz w:val="28"/>
          <w:szCs w:val="28"/>
        </w:rPr>
        <w:t>’</w:t>
      </w:r>
      <w:proofErr w:type="spellStart"/>
      <w:r w:rsidRPr="003D0345">
        <w:rPr>
          <w:sz w:val="28"/>
          <w:szCs w:val="28"/>
          <w:lang w:val="uk-UA"/>
        </w:rPr>
        <w:t>ятдесят</w:t>
      </w:r>
      <w:proofErr w:type="spellEnd"/>
      <w:r w:rsidRPr="003D0345">
        <w:rPr>
          <w:sz w:val="28"/>
          <w:szCs w:val="28"/>
          <w:lang w:val="uk-UA"/>
        </w:rPr>
        <w:t xml:space="preserve"> років. Це промовисто контрастує з активним розвитком студій про Івана Федоровича, острозький та вільнюський книжкові осередки в останні десятиліття. Мета цих тез </w:t>
      </w:r>
      <w:r w:rsidR="00BA1990">
        <w:rPr>
          <w:sz w:val="28"/>
          <w:szCs w:val="28"/>
          <w:lang w:val="uk-UA"/>
        </w:rPr>
        <w:t>–</w:t>
      </w:r>
      <w:r w:rsidRPr="003D0345">
        <w:rPr>
          <w:sz w:val="28"/>
          <w:szCs w:val="28"/>
          <w:lang w:val="uk-UA"/>
        </w:rPr>
        <w:t xml:space="preserve"> не лише зафіксувати цю історіографічну прогалину, а й окреслити напрями подальшого дослідження: архівну верифікацію прізвища </w:t>
      </w:r>
      <w:proofErr w:type="spellStart"/>
      <w:r w:rsidRPr="003D0345">
        <w:rPr>
          <w:sz w:val="28"/>
          <w:szCs w:val="28"/>
          <w:lang w:val="uk-UA"/>
        </w:rPr>
        <w:t>Козлітін</w:t>
      </w:r>
      <w:proofErr w:type="spellEnd"/>
      <w:r w:rsidRPr="003D0345">
        <w:rPr>
          <w:sz w:val="28"/>
          <w:szCs w:val="28"/>
          <w:lang w:val="uk-UA"/>
        </w:rPr>
        <w:t xml:space="preserve"> у контексті </w:t>
      </w:r>
      <w:proofErr w:type="spellStart"/>
      <w:r w:rsidRPr="003D0345">
        <w:rPr>
          <w:sz w:val="28"/>
          <w:szCs w:val="28"/>
          <w:lang w:val="uk-UA"/>
        </w:rPr>
        <w:t>Путивльщини</w:t>
      </w:r>
      <w:proofErr w:type="spellEnd"/>
      <w:r w:rsidR="00320F97">
        <w:rPr>
          <w:sz w:val="28"/>
          <w:szCs w:val="28"/>
        </w:rPr>
        <w:t xml:space="preserve"> </w:t>
      </w:r>
      <w:r w:rsidR="00320F97">
        <w:rPr>
          <w:sz w:val="28"/>
          <w:szCs w:val="28"/>
          <w:lang w:val="uk-UA"/>
        </w:rPr>
        <w:t>чи інших регіонів</w:t>
      </w:r>
      <w:r w:rsidRPr="003D0345">
        <w:rPr>
          <w:sz w:val="28"/>
          <w:szCs w:val="28"/>
          <w:lang w:val="uk-UA"/>
        </w:rPr>
        <w:t>, порівняльний аналіз оправ з вільнюським</w:t>
      </w:r>
      <w:r w:rsidR="00320F97">
        <w:rPr>
          <w:sz w:val="28"/>
          <w:szCs w:val="28"/>
          <w:lang w:val="uk-UA"/>
        </w:rPr>
        <w:t xml:space="preserve"> чи острозьким</w:t>
      </w:r>
      <w:r w:rsidRPr="003D0345">
        <w:rPr>
          <w:sz w:val="28"/>
          <w:szCs w:val="28"/>
          <w:lang w:val="uk-UA"/>
        </w:rPr>
        <w:t xml:space="preserve"> корпусом </w:t>
      </w:r>
      <w:proofErr w:type="spellStart"/>
      <w:r w:rsidRPr="003D0345">
        <w:rPr>
          <w:sz w:val="28"/>
          <w:szCs w:val="28"/>
          <w:lang w:val="uk-UA"/>
        </w:rPr>
        <w:t>Бодлеянської</w:t>
      </w:r>
      <w:proofErr w:type="spellEnd"/>
      <w:r w:rsidRPr="003D0345">
        <w:rPr>
          <w:sz w:val="28"/>
          <w:szCs w:val="28"/>
          <w:lang w:val="uk-UA"/>
        </w:rPr>
        <w:t xml:space="preserve"> бібліотеки, уточнення біографічних даних Джона Джонстона. Сподіваємося, що ці тези стануть відправною точкою для нової міжнародної дискусії </w:t>
      </w:r>
      <w:r w:rsidR="00320F97">
        <w:rPr>
          <w:sz w:val="28"/>
          <w:szCs w:val="28"/>
          <w:lang w:val="uk-UA"/>
        </w:rPr>
        <w:t>щодо</w:t>
      </w:r>
      <w:r w:rsidRPr="003D0345">
        <w:rPr>
          <w:sz w:val="28"/>
          <w:szCs w:val="28"/>
          <w:lang w:val="uk-UA"/>
        </w:rPr>
        <w:t xml:space="preserve"> примірник</w:t>
      </w:r>
      <w:r w:rsidR="00320F97">
        <w:rPr>
          <w:sz w:val="28"/>
          <w:szCs w:val="28"/>
          <w:lang w:val="uk-UA"/>
        </w:rPr>
        <w:t>а</w:t>
      </w:r>
      <w:r w:rsidRPr="003D0345">
        <w:rPr>
          <w:sz w:val="28"/>
          <w:szCs w:val="28"/>
          <w:lang w:val="uk-UA"/>
        </w:rPr>
        <w:t>, який досі залишається недооціненим джерелом з історії українського кириличного друку в британських колекціях.</w:t>
      </w:r>
    </w:p>
    <w:p w14:paraId="4A6C7A11" w14:textId="77777777" w:rsidR="00547DF9" w:rsidRDefault="00547DF9" w:rsidP="00547DF9">
      <w:pPr>
        <w:spacing w:line="360" w:lineRule="auto"/>
        <w:jc w:val="both"/>
      </w:pPr>
    </w:p>
    <w:p w14:paraId="54AEC638" w14:textId="50D65AF6" w:rsidR="003C61AF" w:rsidRPr="00547DF9" w:rsidRDefault="00000000" w:rsidP="00547DF9">
      <w:pPr>
        <w:spacing w:line="360" w:lineRule="auto"/>
        <w:jc w:val="both"/>
        <w:rPr>
          <w:lang w:val="uk-UA"/>
        </w:rPr>
      </w:pPr>
      <w:r w:rsidRPr="00547DF9">
        <w:rPr>
          <w:b/>
          <w:bCs/>
          <w:sz w:val="28"/>
          <w:szCs w:val="28"/>
        </w:rPr>
        <w:t>Oleksandr Okhrimenko,</w:t>
      </w:r>
    </w:p>
    <w:p w14:paraId="4FF738C5" w14:textId="40F060FE" w:rsidR="003C61AF" w:rsidRPr="00547DF9" w:rsidRDefault="003A4176">
      <w:pPr>
        <w:spacing w:line="360" w:lineRule="auto"/>
      </w:pPr>
      <w:r w:rsidRPr="00547DF9">
        <w:rPr>
          <w:sz w:val="28"/>
          <w:szCs w:val="28"/>
        </w:rPr>
        <w:t xml:space="preserve">ORCID </w:t>
      </w:r>
      <w:hyperlink r:id="rId7" w:history="1">
        <w:r w:rsidRPr="00547DF9">
          <w:rPr>
            <w:rStyle w:val="Hyperlink"/>
            <w:sz w:val="28"/>
            <w:szCs w:val="28"/>
          </w:rPr>
          <w:t>https://orcid.org/0000-0002-5646-4133</w:t>
        </w:r>
      </w:hyperlink>
      <w:r w:rsidR="00000000" w:rsidRPr="00547DF9">
        <w:rPr>
          <w:sz w:val="28"/>
          <w:szCs w:val="28"/>
        </w:rPr>
        <w:t>,</w:t>
      </w:r>
    </w:p>
    <w:p w14:paraId="5A49C305" w14:textId="77777777" w:rsidR="003C61AF" w:rsidRPr="00547DF9" w:rsidRDefault="00000000">
      <w:pPr>
        <w:spacing w:line="360" w:lineRule="auto"/>
      </w:pPr>
      <w:r w:rsidRPr="00547DF9">
        <w:rPr>
          <w:sz w:val="28"/>
          <w:szCs w:val="28"/>
        </w:rPr>
        <w:t>Candidate of Historical Sciences,</w:t>
      </w:r>
    </w:p>
    <w:p w14:paraId="5ACB6E68" w14:textId="77777777" w:rsidR="003C61AF" w:rsidRPr="00547DF9" w:rsidRDefault="00000000">
      <w:pPr>
        <w:spacing w:line="360" w:lineRule="auto"/>
      </w:pPr>
      <w:r w:rsidRPr="00547DF9">
        <w:rPr>
          <w:sz w:val="28"/>
          <w:szCs w:val="28"/>
        </w:rPr>
        <w:t>Research Fellow,</w:t>
      </w:r>
    </w:p>
    <w:p w14:paraId="49577295" w14:textId="77777777" w:rsidR="003C61AF" w:rsidRPr="00547DF9" w:rsidRDefault="00000000">
      <w:pPr>
        <w:spacing w:line="360" w:lineRule="auto"/>
      </w:pPr>
      <w:r w:rsidRPr="00547DF9">
        <w:rPr>
          <w:sz w:val="28"/>
          <w:szCs w:val="28"/>
        </w:rPr>
        <w:t>University of Birmingham,</w:t>
      </w:r>
    </w:p>
    <w:p w14:paraId="3AD3A010" w14:textId="77777777" w:rsidR="003C61AF" w:rsidRPr="00547DF9" w:rsidRDefault="00000000">
      <w:pPr>
        <w:spacing w:line="360" w:lineRule="auto"/>
      </w:pPr>
      <w:r w:rsidRPr="00547DF9">
        <w:rPr>
          <w:sz w:val="28"/>
          <w:szCs w:val="28"/>
        </w:rPr>
        <w:t>Birmingham, United Kingdom</w:t>
      </w:r>
    </w:p>
    <w:p w14:paraId="63B048CC" w14:textId="185B3355" w:rsidR="003C61AF" w:rsidRPr="00547DF9" w:rsidRDefault="00000000">
      <w:pPr>
        <w:spacing w:line="360" w:lineRule="auto"/>
        <w:rPr>
          <w:sz w:val="28"/>
          <w:szCs w:val="28"/>
        </w:rPr>
      </w:pPr>
      <w:r w:rsidRPr="00547DF9">
        <w:rPr>
          <w:sz w:val="28"/>
          <w:szCs w:val="28"/>
        </w:rPr>
        <w:t xml:space="preserve">e-mail: </w:t>
      </w:r>
      <w:hyperlink r:id="rId8" w:history="1">
        <w:r w:rsidR="003A4176" w:rsidRPr="00547DF9">
          <w:rPr>
            <w:rStyle w:val="Hyperlink"/>
            <w:sz w:val="28"/>
            <w:szCs w:val="28"/>
          </w:rPr>
          <w:t>o.okhrimenko@bham.ac.uk</w:t>
        </w:r>
      </w:hyperlink>
    </w:p>
    <w:p w14:paraId="7CE5A2C8" w14:textId="77777777" w:rsidR="003C61AF" w:rsidRPr="00547DF9" w:rsidRDefault="003C61AF">
      <w:pPr>
        <w:spacing w:line="360" w:lineRule="auto"/>
      </w:pPr>
    </w:p>
    <w:p w14:paraId="22C10076" w14:textId="599DF912" w:rsidR="003C61AF" w:rsidRPr="00547DF9" w:rsidRDefault="00000000" w:rsidP="003A4176">
      <w:pPr>
        <w:spacing w:line="360" w:lineRule="auto"/>
        <w:jc w:val="center"/>
        <w:rPr>
          <w:b/>
          <w:bCs/>
          <w:sz w:val="28"/>
          <w:szCs w:val="28"/>
        </w:rPr>
      </w:pPr>
      <w:r w:rsidRPr="00547DF9">
        <w:rPr>
          <w:b/>
          <w:bCs/>
          <w:sz w:val="28"/>
          <w:szCs w:val="28"/>
        </w:rPr>
        <w:t xml:space="preserve">The St Andrews copy of the </w:t>
      </w:r>
      <w:proofErr w:type="spellStart"/>
      <w:r w:rsidRPr="00547DF9">
        <w:rPr>
          <w:b/>
          <w:bCs/>
          <w:sz w:val="28"/>
          <w:szCs w:val="28"/>
        </w:rPr>
        <w:t>Ostr</w:t>
      </w:r>
      <w:r w:rsidR="00547DF9" w:rsidRPr="00547DF9">
        <w:rPr>
          <w:b/>
          <w:bCs/>
          <w:sz w:val="28"/>
          <w:szCs w:val="28"/>
        </w:rPr>
        <w:t>i</w:t>
      </w:r>
      <w:r w:rsidRPr="00547DF9">
        <w:rPr>
          <w:b/>
          <w:bCs/>
          <w:sz w:val="28"/>
          <w:szCs w:val="28"/>
        </w:rPr>
        <w:t>h</w:t>
      </w:r>
      <w:proofErr w:type="spellEnd"/>
      <w:r w:rsidRPr="00547DF9">
        <w:rPr>
          <w:b/>
          <w:bCs/>
          <w:sz w:val="28"/>
          <w:szCs w:val="28"/>
        </w:rPr>
        <w:t xml:space="preserve"> Bible: towards a historiography of the question (1970–2026)</w:t>
      </w:r>
    </w:p>
    <w:p w14:paraId="0A1763C1" w14:textId="05AB5DCA" w:rsidR="00547DF9" w:rsidRPr="00547DF9" w:rsidRDefault="00547DF9" w:rsidP="00547DF9">
      <w:pPr>
        <w:pStyle w:val="font-claude-response-body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47DF9">
        <w:rPr>
          <w:color w:val="000000"/>
          <w:sz w:val="28"/>
          <w:szCs w:val="28"/>
        </w:rPr>
        <w:lastRenderedPageBreak/>
        <w:t xml:space="preserve">The </w:t>
      </w:r>
      <w:r w:rsidRPr="00547DF9">
        <w:rPr>
          <w:color w:val="000000"/>
          <w:sz w:val="28"/>
          <w:szCs w:val="28"/>
        </w:rPr>
        <w:t>paper</w:t>
      </w:r>
      <w:r w:rsidRPr="00547DF9">
        <w:rPr>
          <w:color w:val="000000"/>
          <w:sz w:val="28"/>
          <w:szCs w:val="28"/>
        </w:rPr>
        <w:t xml:space="preserve"> offers a historiographical analysis of the only study of the St Andrews copy of the </w:t>
      </w:r>
      <w:proofErr w:type="spellStart"/>
      <w:r w:rsidRPr="00547DF9">
        <w:rPr>
          <w:color w:val="000000"/>
          <w:sz w:val="28"/>
          <w:szCs w:val="28"/>
        </w:rPr>
        <w:t>Ostr</w:t>
      </w:r>
      <w:r w:rsidRPr="00547DF9">
        <w:rPr>
          <w:color w:val="000000"/>
          <w:sz w:val="28"/>
          <w:szCs w:val="28"/>
        </w:rPr>
        <w:t>i</w:t>
      </w:r>
      <w:r w:rsidRPr="00547DF9">
        <w:rPr>
          <w:color w:val="000000"/>
          <w:sz w:val="28"/>
          <w:szCs w:val="28"/>
        </w:rPr>
        <w:t>h</w:t>
      </w:r>
      <w:proofErr w:type="spellEnd"/>
      <w:r w:rsidRPr="00547DF9">
        <w:rPr>
          <w:color w:val="000000"/>
          <w:sz w:val="28"/>
          <w:szCs w:val="28"/>
        </w:rPr>
        <w:t xml:space="preserve"> Bible (1580/1581), published by Christian, Sullivan and Simmons in 1970. Three arguments are reconsidered: the provenance inscription and its link to Ukrainian lands, the debate on the </w:t>
      </w:r>
      <w:proofErr w:type="spellStart"/>
      <w:r w:rsidRPr="00547DF9">
        <w:rPr>
          <w:color w:val="000000"/>
          <w:sz w:val="28"/>
          <w:szCs w:val="28"/>
        </w:rPr>
        <w:t>Ostr</w:t>
      </w:r>
      <w:r w:rsidRPr="00547DF9">
        <w:rPr>
          <w:color w:val="000000"/>
          <w:sz w:val="28"/>
          <w:szCs w:val="28"/>
        </w:rPr>
        <w:t>i</w:t>
      </w:r>
      <w:r w:rsidRPr="00547DF9">
        <w:rPr>
          <w:color w:val="000000"/>
          <w:sz w:val="28"/>
          <w:szCs w:val="28"/>
        </w:rPr>
        <w:t>h</w:t>
      </w:r>
      <w:proofErr w:type="spellEnd"/>
      <w:r w:rsidRPr="00547DF9">
        <w:rPr>
          <w:color w:val="000000"/>
          <w:sz w:val="28"/>
          <w:szCs w:val="28"/>
        </w:rPr>
        <w:t xml:space="preserve"> or Vilnius origin of the binding, and the hypothesis of John Johnston as owner. The need for a new study, informed by recent scholarship on Ivan </w:t>
      </w:r>
      <w:proofErr w:type="spellStart"/>
      <w:r w:rsidRPr="00547DF9">
        <w:rPr>
          <w:color w:val="000000"/>
          <w:sz w:val="28"/>
          <w:szCs w:val="28"/>
        </w:rPr>
        <w:t>Fedorovych</w:t>
      </w:r>
      <w:proofErr w:type="spellEnd"/>
      <w:r w:rsidRPr="00547DF9">
        <w:rPr>
          <w:color w:val="000000"/>
          <w:sz w:val="28"/>
          <w:szCs w:val="28"/>
        </w:rPr>
        <w:t xml:space="preserve"> and Cyrillic printing, is argued.</w:t>
      </w:r>
    </w:p>
    <w:p w14:paraId="3E5A970A" w14:textId="78709016" w:rsidR="00547DF9" w:rsidRPr="00547DF9" w:rsidRDefault="00547DF9" w:rsidP="00547DF9">
      <w:pPr>
        <w:pStyle w:val="font-claude-response-body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47DF9">
        <w:rPr>
          <w:rStyle w:val="Strong"/>
          <w:color w:val="000000"/>
          <w:sz w:val="28"/>
          <w:szCs w:val="28"/>
        </w:rPr>
        <w:t>Keywords:</w:t>
      </w:r>
      <w:r w:rsidR="00BA1990">
        <w:rPr>
          <w:rStyle w:val="apple-converted-space"/>
          <w:color w:val="000000"/>
          <w:sz w:val="28"/>
          <w:szCs w:val="28"/>
        </w:rPr>
        <w:t xml:space="preserve"> </w:t>
      </w:r>
      <w:proofErr w:type="spellStart"/>
      <w:r w:rsidRPr="00547DF9">
        <w:rPr>
          <w:color w:val="000000"/>
          <w:sz w:val="28"/>
          <w:szCs w:val="28"/>
        </w:rPr>
        <w:t>Ostr</w:t>
      </w:r>
      <w:r w:rsidRPr="00547DF9">
        <w:rPr>
          <w:color w:val="000000"/>
          <w:sz w:val="28"/>
          <w:szCs w:val="28"/>
        </w:rPr>
        <w:t>i</w:t>
      </w:r>
      <w:r w:rsidRPr="00547DF9">
        <w:rPr>
          <w:color w:val="000000"/>
          <w:sz w:val="28"/>
          <w:szCs w:val="28"/>
        </w:rPr>
        <w:t>h</w:t>
      </w:r>
      <w:proofErr w:type="spellEnd"/>
      <w:r w:rsidRPr="00547DF9">
        <w:rPr>
          <w:color w:val="000000"/>
          <w:sz w:val="28"/>
          <w:szCs w:val="28"/>
        </w:rPr>
        <w:t xml:space="preserve"> Bible, St Andrews, provenance, Cyrillic bindings, Ivan Fedorovych, Vilnius printing centre, historiography, owner attribution.</w:t>
      </w:r>
    </w:p>
    <w:p w14:paraId="53DF34B9" w14:textId="77777777" w:rsidR="00547DF9" w:rsidRPr="00547DF9" w:rsidRDefault="00547DF9" w:rsidP="00547DF9">
      <w:pPr>
        <w:spacing w:line="360" w:lineRule="auto"/>
      </w:pPr>
    </w:p>
    <w:sectPr w:rsidR="00547DF9" w:rsidRPr="00547DF9">
      <w:pgSz w:w="11906" w:h="16838"/>
      <w:pgMar w:top="1133" w:right="1133" w:bottom="1133" w:left="113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AE43FA"/>
    <w:multiLevelType w:val="hybridMultilevel"/>
    <w:tmpl w:val="0172C67C"/>
    <w:lvl w:ilvl="0" w:tplc="19E82D8C">
      <w:start w:val="1"/>
      <w:numFmt w:val="bullet"/>
      <w:lvlText w:val="●"/>
      <w:lvlJc w:val="left"/>
      <w:pPr>
        <w:ind w:left="720" w:hanging="360"/>
      </w:pPr>
    </w:lvl>
    <w:lvl w:ilvl="1" w:tplc="B2643388">
      <w:start w:val="1"/>
      <w:numFmt w:val="bullet"/>
      <w:lvlText w:val="○"/>
      <w:lvlJc w:val="left"/>
      <w:pPr>
        <w:ind w:left="1440" w:hanging="360"/>
      </w:pPr>
    </w:lvl>
    <w:lvl w:ilvl="2" w:tplc="5840E742">
      <w:start w:val="1"/>
      <w:numFmt w:val="bullet"/>
      <w:lvlText w:val="■"/>
      <w:lvlJc w:val="left"/>
      <w:pPr>
        <w:ind w:left="2160" w:hanging="360"/>
      </w:pPr>
    </w:lvl>
    <w:lvl w:ilvl="3" w:tplc="96585916">
      <w:start w:val="1"/>
      <w:numFmt w:val="bullet"/>
      <w:lvlText w:val="●"/>
      <w:lvlJc w:val="left"/>
      <w:pPr>
        <w:ind w:left="2880" w:hanging="360"/>
      </w:pPr>
    </w:lvl>
    <w:lvl w:ilvl="4" w:tplc="F98056B8">
      <w:start w:val="1"/>
      <w:numFmt w:val="bullet"/>
      <w:lvlText w:val="○"/>
      <w:lvlJc w:val="left"/>
      <w:pPr>
        <w:ind w:left="3600" w:hanging="360"/>
      </w:pPr>
    </w:lvl>
    <w:lvl w:ilvl="5" w:tplc="4B36C734">
      <w:start w:val="1"/>
      <w:numFmt w:val="bullet"/>
      <w:lvlText w:val="■"/>
      <w:lvlJc w:val="left"/>
      <w:pPr>
        <w:ind w:left="4320" w:hanging="360"/>
      </w:pPr>
    </w:lvl>
    <w:lvl w:ilvl="6" w:tplc="C2E8AED2">
      <w:start w:val="1"/>
      <w:numFmt w:val="bullet"/>
      <w:lvlText w:val="●"/>
      <w:lvlJc w:val="left"/>
      <w:pPr>
        <w:ind w:left="5040" w:hanging="360"/>
      </w:pPr>
    </w:lvl>
    <w:lvl w:ilvl="7" w:tplc="64C66844">
      <w:start w:val="1"/>
      <w:numFmt w:val="bullet"/>
      <w:lvlText w:val="●"/>
      <w:lvlJc w:val="left"/>
      <w:pPr>
        <w:ind w:left="5760" w:hanging="360"/>
      </w:pPr>
    </w:lvl>
    <w:lvl w:ilvl="8" w:tplc="64A23A98">
      <w:start w:val="1"/>
      <w:numFmt w:val="bullet"/>
      <w:lvlText w:val="●"/>
      <w:lvlJc w:val="left"/>
      <w:pPr>
        <w:ind w:left="6480" w:hanging="360"/>
      </w:pPr>
    </w:lvl>
  </w:abstractNum>
  <w:num w:numId="1" w16cid:durableId="12454509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1AF"/>
    <w:rsid w:val="00320F97"/>
    <w:rsid w:val="003A4176"/>
    <w:rsid w:val="003C61AF"/>
    <w:rsid w:val="003D0345"/>
    <w:rsid w:val="00547DF9"/>
    <w:rsid w:val="005F3B40"/>
    <w:rsid w:val="008B0350"/>
    <w:rsid w:val="00BA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B4A695"/>
  <w15:docId w15:val="{FFA86533-E40E-5943-BE2A-75E1DAD7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B03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B0350"/>
    <w:rPr>
      <w:color w:val="96607D" w:themeColor="followedHyperlink"/>
      <w:u w:val="single"/>
    </w:rPr>
  </w:style>
  <w:style w:type="paragraph" w:customStyle="1" w:styleId="font-claude-response-body">
    <w:name w:val="font-claude-response-body"/>
    <w:basedOn w:val="Normal"/>
    <w:rsid w:val="00547DF9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547DF9"/>
    <w:rPr>
      <w:b/>
      <w:bCs/>
    </w:rPr>
  </w:style>
  <w:style w:type="character" w:customStyle="1" w:styleId="apple-converted-space">
    <w:name w:val="apple-converted-space"/>
    <w:basedOn w:val="DefaultParagraphFont"/>
    <w:rsid w:val="00547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.okhrimenko@bham.ac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cid.org/0000-0002-5646-41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.okhrimenko@bham.ac.uk" TargetMode="External"/><Relationship Id="rId5" Type="http://schemas.openxmlformats.org/officeDocument/2006/relationships/hyperlink" Target="https://orcid.org/0000-0002-5646-413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919</Words>
  <Characters>5242</Characters>
  <Application>Microsoft Office Word</Application>
  <DocSecurity>0</DocSecurity>
  <Lines>43</Lines>
  <Paragraphs>12</Paragraphs>
  <ScaleCrop>false</ScaleCrop>
  <Company/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ohrimenkosasha@gmail.com</cp:lastModifiedBy>
  <cp:revision>9</cp:revision>
  <dcterms:created xsi:type="dcterms:W3CDTF">2026-08-06T20:24:00Z</dcterms:created>
  <dcterms:modified xsi:type="dcterms:W3CDTF">2026-08-06T20:42:00Z</dcterms:modified>
</cp:coreProperties>
</file>