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E79B5" w14:textId="47F08151" w:rsidR="008A5E89" w:rsidRPr="008A5E89" w:rsidRDefault="008A5E89" w:rsidP="008A5E89">
      <w:pPr>
        <w:widowControl w:val="0"/>
        <w:spacing w:after="0" w:line="240" w:lineRule="auto"/>
        <w:rPr>
          <w:rFonts w:ascii="Times New Roman" w:eastAsia="Calibri" w:hAnsi="Times New Roman" w:cs="Times New Roman"/>
          <w:bCs/>
          <w:kern w:val="0"/>
          <w:sz w:val="28"/>
          <w:szCs w:val="28"/>
          <w:lang w:val="ru-RU"/>
        </w:rPr>
      </w:pPr>
      <w:r w:rsidRPr="008A5E89">
        <w:rPr>
          <w:rFonts w:ascii="Times New Roman" w:eastAsia="Calibri" w:hAnsi="Times New Roman" w:cs="Times New Roman"/>
          <w:bCs/>
          <w:kern w:val="0"/>
          <w:sz w:val="28"/>
          <w:szCs w:val="28"/>
        </w:rPr>
        <w:t>УДК 632.952+676.223.2</w:t>
      </w:r>
    </w:p>
    <w:p w14:paraId="0638862E" w14:textId="535CC56B" w:rsidR="00480AAC" w:rsidRPr="003B176F" w:rsidRDefault="00480AAC" w:rsidP="008B638C">
      <w:pPr>
        <w:widowControl w:val="0"/>
        <w:spacing w:after="0" w:line="360" w:lineRule="auto"/>
        <w:rPr>
          <w:rFonts w:ascii="Times New Roman" w:eastAsia="Calibri" w:hAnsi="Times New Roman" w:cs="Times New Roman"/>
          <w:b/>
          <w:kern w:val="0"/>
          <w:sz w:val="28"/>
          <w:szCs w:val="28"/>
          <w:lang w:val="ru-RU"/>
        </w:rPr>
      </w:pPr>
      <w:r w:rsidRPr="003B176F">
        <w:rPr>
          <w:rFonts w:ascii="Times New Roman" w:eastAsia="Calibri" w:hAnsi="Times New Roman" w:cs="Times New Roman"/>
          <w:b/>
          <w:kern w:val="0"/>
          <w:sz w:val="28"/>
          <w:szCs w:val="28"/>
        </w:rPr>
        <w:t>Письменна Юлія Борисівна</w:t>
      </w:r>
      <w:r w:rsidR="008B638C" w:rsidRPr="003B176F">
        <w:rPr>
          <w:rFonts w:ascii="Times New Roman" w:eastAsia="Calibri" w:hAnsi="Times New Roman" w:cs="Times New Roman"/>
          <w:b/>
          <w:kern w:val="0"/>
          <w:sz w:val="28"/>
          <w:szCs w:val="28"/>
        </w:rPr>
        <w:t>,</w:t>
      </w:r>
    </w:p>
    <w:p w14:paraId="418039D3"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lang w:val="ru-RU"/>
        </w:rPr>
      </w:pPr>
      <w:r w:rsidRPr="003B176F">
        <w:rPr>
          <w:rFonts w:ascii="Times New Roman" w:eastAsia="Calibri" w:hAnsi="Times New Roman" w:cs="Times New Roman"/>
          <w:bCs/>
          <w:kern w:val="0"/>
          <w:sz w:val="28"/>
          <w:szCs w:val="28"/>
        </w:rPr>
        <w:t xml:space="preserve">кандидат біологічних наук, </w:t>
      </w:r>
    </w:p>
    <w:p w14:paraId="6F372672" w14:textId="77777777" w:rsidR="00480AAC" w:rsidRPr="003B176F" w:rsidRDefault="00480AAC" w:rsidP="008B638C">
      <w:pPr>
        <w:widowControl w:val="0"/>
        <w:spacing w:after="0" w:line="360" w:lineRule="auto"/>
        <w:rPr>
          <w:rFonts w:ascii="Calibri" w:eastAsia="Calibri" w:hAnsi="Calibri" w:cs="Times New Roman"/>
          <w:kern w:val="0"/>
          <w:sz w:val="28"/>
          <w:szCs w:val="28"/>
        </w:rPr>
      </w:pPr>
      <w:r w:rsidRPr="003B176F">
        <w:rPr>
          <w:rFonts w:ascii="Times New Roman" w:eastAsia="Calibri" w:hAnsi="Times New Roman" w:cs="Times New Roman"/>
          <w:kern w:val="0"/>
          <w:sz w:val="28"/>
          <w:szCs w:val="28"/>
        </w:rPr>
        <w:t>науков</w:t>
      </w:r>
      <w:r w:rsidR="008B638C" w:rsidRPr="003B176F">
        <w:rPr>
          <w:rFonts w:ascii="Times New Roman" w:eastAsia="Calibri" w:hAnsi="Times New Roman" w:cs="Times New Roman"/>
          <w:kern w:val="0"/>
          <w:sz w:val="28"/>
          <w:szCs w:val="28"/>
        </w:rPr>
        <w:t xml:space="preserve">а </w:t>
      </w:r>
      <w:r w:rsidRPr="003B176F">
        <w:rPr>
          <w:rFonts w:ascii="Times New Roman" w:eastAsia="Calibri" w:hAnsi="Times New Roman" w:cs="Times New Roman"/>
          <w:kern w:val="0"/>
          <w:sz w:val="28"/>
          <w:szCs w:val="28"/>
        </w:rPr>
        <w:t>співробітни</w:t>
      </w:r>
      <w:r w:rsidR="008B638C" w:rsidRPr="003B176F">
        <w:rPr>
          <w:rFonts w:ascii="Times New Roman" w:eastAsia="Calibri" w:hAnsi="Times New Roman" w:cs="Times New Roman"/>
          <w:kern w:val="0"/>
          <w:sz w:val="28"/>
          <w:szCs w:val="28"/>
        </w:rPr>
        <w:t>ця</w:t>
      </w:r>
      <w:r w:rsidRPr="003B176F">
        <w:rPr>
          <w:rFonts w:ascii="Times New Roman" w:eastAsia="Calibri" w:hAnsi="Times New Roman" w:cs="Times New Roman"/>
          <w:kern w:val="0"/>
          <w:sz w:val="28"/>
          <w:szCs w:val="28"/>
        </w:rPr>
        <w:t xml:space="preserve">, </w:t>
      </w:r>
    </w:p>
    <w:p w14:paraId="31CAD89A" w14:textId="77777777" w:rsidR="00480AAC" w:rsidRPr="003B176F" w:rsidRDefault="00480AAC" w:rsidP="008B638C">
      <w:pPr>
        <w:widowControl w:val="0"/>
        <w:spacing w:after="0" w:line="360" w:lineRule="auto"/>
        <w:rPr>
          <w:rFonts w:ascii="Calibri" w:eastAsia="Calibri" w:hAnsi="Calibri" w:cs="Times New Roman"/>
          <w:kern w:val="0"/>
          <w:sz w:val="28"/>
          <w:szCs w:val="28"/>
        </w:rPr>
      </w:pPr>
      <w:r w:rsidRPr="003B176F">
        <w:rPr>
          <w:rFonts w:ascii="Times New Roman" w:eastAsia="Calibri" w:hAnsi="Times New Roman" w:cs="Times New Roman"/>
          <w:kern w:val="0"/>
          <w:sz w:val="28"/>
          <w:szCs w:val="28"/>
        </w:rPr>
        <w:t>відділу фізіології і систематики мікроміцетів</w:t>
      </w:r>
    </w:p>
    <w:p w14:paraId="4DE46915" w14:textId="77777777" w:rsidR="00480AAC" w:rsidRPr="003B176F" w:rsidRDefault="00480AAC" w:rsidP="008B638C">
      <w:pPr>
        <w:widowControl w:val="0"/>
        <w:spacing w:after="0" w:line="360" w:lineRule="auto"/>
        <w:rPr>
          <w:rFonts w:ascii="Calibri" w:eastAsia="Calibri" w:hAnsi="Calibri" w:cs="Times New Roman"/>
          <w:kern w:val="0"/>
          <w:sz w:val="28"/>
          <w:szCs w:val="28"/>
          <w:lang w:val="ru-RU"/>
        </w:rPr>
      </w:pPr>
      <w:r w:rsidRPr="003B176F">
        <w:rPr>
          <w:rFonts w:ascii="Times New Roman" w:eastAsia="Calibri" w:hAnsi="Times New Roman" w:cs="Times New Roman"/>
          <w:kern w:val="0"/>
          <w:sz w:val="28"/>
          <w:szCs w:val="28"/>
        </w:rPr>
        <w:t>Інститут мікробіології і вірусології ім. Д</w:t>
      </w:r>
      <w:r w:rsidRPr="003B176F">
        <w:rPr>
          <w:rFonts w:ascii="Times New Roman" w:eastAsia="Calibri" w:hAnsi="Times New Roman" w:cs="Times New Roman"/>
          <w:kern w:val="0"/>
          <w:sz w:val="28"/>
          <w:szCs w:val="28"/>
          <w:lang w:val="ru-RU"/>
        </w:rPr>
        <w:t>.</w:t>
      </w:r>
      <w:r w:rsidR="00C05EF6" w:rsidRPr="003B176F">
        <w:rPr>
          <w:rFonts w:ascii="Times New Roman" w:eastAsia="Calibri" w:hAnsi="Times New Roman" w:cs="Times New Roman"/>
          <w:kern w:val="0"/>
          <w:sz w:val="28"/>
          <w:szCs w:val="28"/>
          <w:lang w:val="ru-RU"/>
        </w:rPr>
        <w:t xml:space="preserve"> </w:t>
      </w:r>
      <w:r w:rsidRPr="003B176F">
        <w:rPr>
          <w:rFonts w:ascii="Times New Roman" w:eastAsia="Calibri" w:hAnsi="Times New Roman" w:cs="Times New Roman"/>
          <w:kern w:val="0"/>
          <w:sz w:val="28"/>
          <w:szCs w:val="28"/>
        </w:rPr>
        <w:t>К</w:t>
      </w:r>
      <w:r w:rsidRPr="003B176F">
        <w:rPr>
          <w:rFonts w:ascii="Times New Roman" w:eastAsia="Calibri" w:hAnsi="Times New Roman" w:cs="Times New Roman"/>
          <w:kern w:val="0"/>
          <w:sz w:val="28"/>
          <w:szCs w:val="28"/>
          <w:lang w:val="ru-RU"/>
        </w:rPr>
        <w:t xml:space="preserve">. </w:t>
      </w:r>
      <w:r w:rsidRPr="003B176F">
        <w:rPr>
          <w:rFonts w:ascii="Times New Roman" w:eastAsia="Calibri" w:hAnsi="Times New Roman" w:cs="Times New Roman"/>
          <w:kern w:val="0"/>
          <w:sz w:val="28"/>
          <w:szCs w:val="28"/>
        </w:rPr>
        <w:t>Заболотного</w:t>
      </w:r>
      <w:r w:rsidRPr="003B176F">
        <w:rPr>
          <w:rFonts w:ascii="Times New Roman" w:eastAsia="Calibri" w:hAnsi="Times New Roman" w:cs="Times New Roman"/>
          <w:kern w:val="0"/>
          <w:sz w:val="28"/>
          <w:szCs w:val="28"/>
          <w:lang w:val="ru-RU"/>
        </w:rPr>
        <w:t xml:space="preserve"> </w:t>
      </w:r>
      <w:r w:rsidRPr="003B176F">
        <w:rPr>
          <w:rFonts w:ascii="Times New Roman" w:eastAsia="Calibri" w:hAnsi="Times New Roman" w:cs="Times New Roman"/>
          <w:kern w:val="0"/>
          <w:sz w:val="28"/>
          <w:szCs w:val="28"/>
        </w:rPr>
        <w:t>НАНУ</w:t>
      </w:r>
    </w:p>
    <w:p w14:paraId="4EA01C00"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rPr>
      </w:pPr>
      <w:r w:rsidRPr="003B176F">
        <w:rPr>
          <w:rFonts w:ascii="Times New Roman" w:eastAsia="Calibri" w:hAnsi="Times New Roman" w:cs="Times New Roman"/>
          <w:bCs/>
          <w:kern w:val="0"/>
          <w:sz w:val="28"/>
          <w:szCs w:val="28"/>
        </w:rPr>
        <w:t>Київ, Україна</w:t>
      </w:r>
    </w:p>
    <w:p w14:paraId="6F5F0FE0"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lang w:val="ru-RU"/>
        </w:rPr>
      </w:pPr>
      <w:r w:rsidRPr="003B176F">
        <w:rPr>
          <w:rFonts w:ascii="Times New Roman" w:eastAsia="Calibri" w:hAnsi="Times New Roman" w:cs="Times New Roman"/>
          <w:bCs/>
          <w:kern w:val="0"/>
          <w:sz w:val="28"/>
          <w:szCs w:val="28"/>
        </w:rPr>
        <w:t xml:space="preserve">е-mail: </w:t>
      </w:r>
      <w:hyperlink r:id="rId4" w:history="1">
        <w:r w:rsidRPr="003B176F">
          <w:rPr>
            <w:rFonts w:ascii="Times New Roman" w:eastAsia="Calibri" w:hAnsi="Times New Roman" w:cs="Times New Roman"/>
            <w:bCs/>
            <w:kern w:val="0"/>
            <w:sz w:val="28"/>
            <w:szCs w:val="28"/>
          </w:rPr>
          <w:t>ulitca@ukr.net</w:t>
        </w:r>
      </w:hyperlink>
    </w:p>
    <w:p w14:paraId="2CF10973" w14:textId="77777777" w:rsidR="00480AAC" w:rsidRPr="003B176F" w:rsidRDefault="00480AAC" w:rsidP="008B638C">
      <w:pPr>
        <w:widowControl w:val="0"/>
        <w:spacing w:after="0" w:line="360" w:lineRule="auto"/>
        <w:rPr>
          <w:rFonts w:ascii="Times New Roman" w:eastAsia="Calibri" w:hAnsi="Times New Roman" w:cs="Times New Roman"/>
          <w:b/>
          <w:kern w:val="0"/>
          <w:sz w:val="28"/>
          <w:szCs w:val="28"/>
        </w:rPr>
      </w:pPr>
      <w:r w:rsidRPr="003B176F">
        <w:rPr>
          <w:rFonts w:ascii="Times New Roman" w:eastAsia="Calibri" w:hAnsi="Times New Roman" w:cs="Times New Roman"/>
          <w:b/>
          <w:kern w:val="0"/>
          <w:sz w:val="28"/>
          <w:szCs w:val="28"/>
        </w:rPr>
        <w:t>Савчук Ярослав Ігорович,</w:t>
      </w:r>
    </w:p>
    <w:p w14:paraId="36044B08" w14:textId="77777777" w:rsidR="00480AAC" w:rsidRPr="003B176F" w:rsidRDefault="008B638C" w:rsidP="008B638C">
      <w:pPr>
        <w:widowControl w:val="0"/>
        <w:spacing w:after="0" w:line="360" w:lineRule="auto"/>
        <w:rPr>
          <w:rFonts w:ascii="Times New Roman" w:eastAsia="Calibri" w:hAnsi="Times New Roman" w:cs="Times New Roman"/>
          <w:bCs/>
          <w:kern w:val="0"/>
          <w:sz w:val="28"/>
          <w:szCs w:val="28"/>
        </w:rPr>
      </w:pPr>
      <w:r w:rsidRPr="003B176F">
        <w:rPr>
          <w:rFonts w:ascii="Times New Roman" w:eastAsia="Times New Roman" w:hAnsi="Times New Roman" w:cs="Times New Roman"/>
          <w:kern w:val="0"/>
          <w:sz w:val="28"/>
          <w:szCs w:val="28"/>
          <w:lang w:val="ru-RU"/>
        </w:rPr>
        <w:t>ORCID https://orcid.org/</w:t>
      </w:r>
      <w:r w:rsidR="00480AAC" w:rsidRPr="003B176F">
        <w:rPr>
          <w:rFonts w:ascii="Times New Roman" w:eastAsia="Calibri" w:hAnsi="Times New Roman" w:cs="Times New Roman"/>
          <w:bCs/>
          <w:kern w:val="0"/>
          <w:sz w:val="28"/>
          <w:szCs w:val="28"/>
        </w:rPr>
        <w:t>0000-0001-9872-8865,</w:t>
      </w:r>
    </w:p>
    <w:p w14:paraId="5DBF4BF8"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rPr>
      </w:pPr>
      <w:r w:rsidRPr="003B176F">
        <w:rPr>
          <w:rFonts w:ascii="Times New Roman" w:eastAsia="Calibri" w:hAnsi="Times New Roman" w:cs="Times New Roman"/>
          <w:bCs/>
          <w:kern w:val="0"/>
          <w:sz w:val="28"/>
          <w:szCs w:val="28"/>
        </w:rPr>
        <w:t xml:space="preserve">кандидат біологічних наук, </w:t>
      </w:r>
    </w:p>
    <w:p w14:paraId="0ED24FAD"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rPr>
      </w:pPr>
      <w:r w:rsidRPr="003B176F">
        <w:rPr>
          <w:rFonts w:ascii="Times New Roman" w:eastAsia="Calibri" w:hAnsi="Times New Roman" w:cs="Times New Roman"/>
          <w:bCs/>
          <w:kern w:val="0"/>
          <w:sz w:val="28"/>
          <w:szCs w:val="28"/>
        </w:rPr>
        <w:t xml:space="preserve">науковий співробітник, </w:t>
      </w:r>
    </w:p>
    <w:p w14:paraId="35474683"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rPr>
      </w:pPr>
      <w:r w:rsidRPr="003B176F">
        <w:rPr>
          <w:rFonts w:ascii="Times New Roman" w:eastAsia="Calibri" w:hAnsi="Times New Roman" w:cs="Times New Roman"/>
          <w:bCs/>
          <w:kern w:val="0"/>
          <w:sz w:val="28"/>
          <w:szCs w:val="28"/>
        </w:rPr>
        <w:t>відділ наукових технологій збереження фондів,</w:t>
      </w:r>
    </w:p>
    <w:p w14:paraId="0A68DEF1"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rPr>
      </w:pPr>
      <w:r w:rsidRPr="003B176F">
        <w:rPr>
          <w:rFonts w:ascii="Times New Roman" w:eastAsia="Calibri" w:hAnsi="Times New Roman" w:cs="Times New Roman"/>
          <w:bCs/>
          <w:kern w:val="0"/>
          <w:sz w:val="28"/>
          <w:szCs w:val="28"/>
        </w:rPr>
        <w:t xml:space="preserve">Національна бібліотека України імені В. І. Вернадського, </w:t>
      </w:r>
    </w:p>
    <w:p w14:paraId="743D84BC"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rPr>
      </w:pPr>
      <w:r w:rsidRPr="003B176F">
        <w:rPr>
          <w:rFonts w:ascii="Times New Roman" w:eastAsia="Calibri" w:hAnsi="Times New Roman" w:cs="Times New Roman"/>
          <w:bCs/>
          <w:kern w:val="0"/>
          <w:sz w:val="28"/>
          <w:szCs w:val="28"/>
        </w:rPr>
        <w:t>Київ, Україна</w:t>
      </w:r>
    </w:p>
    <w:p w14:paraId="771A218C" w14:textId="77777777" w:rsidR="00480AAC" w:rsidRPr="003B176F" w:rsidRDefault="00480AAC" w:rsidP="008B638C">
      <w:pPr>
        <w:widowControl w:val="0"/>
        <w:spacing w:after="0" w:line="360" w:lineRule="auto"/>
        <w:rPr>
          <w:rFonts w:ascii="Times New Roman" w:eastAsia="Calibri" w:hAnsi="Times New Roman" w:cs="Times New Roman"/>
          <w:bCs/>
          <w:kern w:val="0"/>
          <w:sz w:val="28"/>
          <w:szCs w:val="28"/>
        </w:rPr>
      </w:pPr>
      <w:r w:rsidRPr="003B176F">
        <w:rPr>
          <w:rFonts w:ascii="Times New Roman" w:eastAsia="Calibri" w:hAnsi="Times New Roman" w:cs="Times New Roman"/>
          <w:bCs/>
          <w:kern w:val="0"/>
          <w:sz w:val="28"/>
          <w:szCs w:val="28"/>
        </w:rPr>
        <w:t xml:space="preserve">е-mail: </w:t>
      </w:r>
      <w:hyperlink r:id="rId5" w:history="1">
        <w:r w:rsidRPr="003B176F">
          <w:rPr>
            <w:rFonts w:ascii="Times New Roman" w:eastAsia="Calibri" w:hAnsi="Times New Roman" w:cs="Times New Roman"/>
            <w:bCs/>
            <w:kern w:val="0"/>
            <w:sz w:val="28"/>
            <w:szCs w:val="28"/>
          </w:rPr>
          <w:t>majka42@ukr.net</w:t>
        </w:r>
      </w:hyperlink>
    </w:p>
    <w:p w14:paraId="4085DE70" w14:textId="77777777" w:rsidR="00480AAC" w:rsidRPr="003B176F" w:rsidRDefault="00480AAC" w:rsidP="008B638C">
      <w:pPr>
        <w:widowControl w:val="0"/>
        <w:spacing w:after="0" w:line="360" w:lineRule="auto"/>
        <w:jc w:val="center"/>
        <w:rPr>
          <w:rFonts w:ascii="Times New Roman" w:eastAsia="Calibri" w:hAnsi="Times New Roman" w:cs="Times New Roman"/>
          <w:b/>
          <w:bCs/>
          <w:kern w:val="0"/>
          <w:sz w:val="28"/>
          <w:szCs w:val="28"/>
        </w:rPr>
      </w:pPr>
    </w:p>
    <w:p w14:paraId="6AB33BC9" w14:textId="77777777" w:rsidR="00480AAC" w:rsidRPr="003B176F" w:rsidRDefault="007D3BAA" w:rsidP="009B701C">
      <w:pPr>
        <w:spacing w:after="0" w:line="360" w:lineRule="auto"/>
        <w:jc w:val="center"/>
        <w:rPr>
          <w:rFonts w:ascii="Times New Roman" w:eastAsia="Aptos" w:hAnsi="Times New Roman" w:cs="Times New Roman"/>
          <w:b/>
          <w:bCs/>
          <w:sz w:val="28"/>
          <w:szCs w:val="28"/>
        </w:rPr>
      </w:pPr>
      <w:r w:rsidRPr="003B176F">
        <w:rPr>
          <w:rFonts w:ascii="Times New Roman" w:eastAsia="Aptos" w:hAnsi="Times New Roman" w:cs="Times New Roman"/>
          <w:b/>
          <w:bCs/>
          <w:sz w:val="28"/>
          <w:szCs w:val="28"/>
        </w:rPr>
        <w:t>Ф</w:t>
      </w:r>
      <w:r w:rsidR="00672207" w:rsidRPr="003B176F">
        <w:rPr>
          <w:rFonts w:ascii="Times New Roman" w:eastAsia="Aptos" w:hAnsi="Times New Roman" w:cs="Times New Roman"/>
          <w:b/>
          <w:bCs/>
          <w:sz w:val="28"/>
          <w:szCs w:val="28"/>
        </w:rPr>
        <w:t xml:space="preserve">унгіцидна активність препарату </w:t>
      </w:r>
      <w:r w:rsidR="00CF7D8B" w:rsidRPr="003B176F">
        <w:rPr>
          <w:rFonts w:ascii="Times New Roman" w:eastAsia="Aptos" w:hAnsi="Times New Roman" w:cs="Times New Roman"/>
          <w:b/>
          <w:bCs/>
          <w:sz w:val="28"/>
          <w:szCs w:val="28"/>
        </w:rPr>
        <w:t>«</w:t>
      </w:r>
      <w:r w:rsidR="00672207" w:rsidRPr="003B176F">
        <w:rPr>
          <w:rFonts w:ascii="Times New Roman" w:eastAsia="Aptos" w:hAnsi="Times New Roman" w:cs="Times New Roman"/>
          <w:b/>
          <w:bCs/>
          <w:sz w:val="28"/>
          <w:szCs w:val="28"/>
          <w:lang w:val="en-US"/>
        </w:rPr>
        <w:t>A</w:t>
      </w:r>
      <w:r w:rsidRPr="003B176F">
        <w:rPr>
          <w:rFonts w:ascii="Times New Roman" w:eastAsia="Aptos" w:hAnsi="Times New Roman" w:cs="Times New Roman"/>
          <w:b/>
          <w:bCs/>
          <w:sz w:val="28"/>
          <w:szCs w:val="28"/>
        </w:rPr>
        <w:t>кватон</w:t>
      </w:r>
      <w:r w:rsidR="00CF7D8B" w:rsidRPr="003B176F">
        <w:rPr>
          <w:rFonts w:ascii="Times New Roman" w:eastAsia="Aptos" w:hAnsi="Times New Roman" w:cs="Times New Roman"/>
          <w:b/>
          <w:bCs/>
          <w:sz w:val="28"/>
          <w:szCs w:val="28"/>
        </w:rPr>
        <w:t>»</w:t>
      </w:r>
      <w:r w:rsidRPr="003B176F">
        <w:rPr>
          <w:rFonts w:ascii="Times New Roman" w:eastAsia="Aptos" w:hAnsi="Times New Roman" w:cs="Times New Roman"/>
          <w:b/>
          <w:bCs/>
          <w:sz w:val="28"/>
          <w:szCs w:val="28"/>
        </w:rPr>
        <w:t xml:space="preserve"> щодо агентів біодеструкції паперу та його вплив на грибостійкість різних типів паперу</w:t>
      </w:r>
    </w:p>
    <w:p w14:paraId="79098AB2" w14:textId="77777777" w:rsidR="007D3BAA" w:rsidRPr="003B176F" w:rsidRDefault="007D3BAA" w:rsidP="009B701C">
      <w:pPr>
        <w:spacing w:after="0" w:line="360" w:lineRule="auto"/>
        <w:jc w:val="center"/>
        <w:rPr>
          <w:rFonts w:ascii="Times New Roman" w:eastAsia="Aptos" w:hAnsi="Times New Roman" w:cs="Times New Roman"/>
          <w:b/>
          <w:bCs/>
          <w:sz w:val="28"/>
          <w:szCs w:val="28"/>
        </w:rPr>
      </w:pPr>
    </w:p>
    <w:p w14:paraId="7E1AD874" w14:textId="77777777" w:rsidR="00480AAC" w:rsidRPr="003B176F" w:rsidRDefault="00480AAC" w:rsidP="009B701C">
      <w:pPr>
        <w:widowControl w:val="0"/>
        <w:spacing w:after="0" w:line="360" w:lineRule="auto"/>
        <w:jc w:val="both"/>
        <w:rPr>
          <w:rFonts w:ascii="Times New Roman" w:eastAsia="Aptos" w:hAnsi="Times New Roman" w:cs="Times New Roman"/>
          <w:kern w:val="0"/>
          <w:sz w:val="28"/>
          <w:szCs w:val="28"/>
        </w:rPr>
      </w:pPr>
      <w:r w:rsidRPr="003B176F">
        <w:rPr>
          <w:rFonts w:ascii="Times New Roman" w:eastAsia="Calibri" w:hAnsi="Times New Roman" w:cs="Times New Roman"/>
          <w:kern w:val="0"/>
          <w:sz w:val="28"/>
          <w:szCs w:val="28"/>
        </w:rPr>
        <w:t xml:space="preserve">Досліджено антифунгальну активність препарату </w:t>
      </w:r>
      <w:r w:rsidR="00CF7D8B" w:rsidRPr="003B176F">
        <w:rPr>
          <w:rFonts w:ascii="Times New Roman" w:eastAsia="Calibri" w:hAnsi="Times New Roman" w:cs="Times New Roman"/>
          <w:kern w:val="0"/>
          <w:sz w:val="28"/>
          <w:szCs w:val="28"/>
        </w:rPr>
        <w:t>«</w:t>
      </w:r>
      <w:proofErr w:type="spellStart"/>
      <w:r w:rsidRPr="003B176F">
        <w:rPr>
          <w:rFonts w:ascii="Times New Roman" w:eastAsia="Calibri" w:hAnsi="Times New Roman" w:cs="Times New Roman"/>
          <w:kern w:val="0"/>
          <w:sz w:val="28"/>
          <w:szCs w:val="28"/>
        </w:rPr>
        <w:t>Акватон</w:t>
      </w:r>
      <w:proofErr w:type="spellEnd"/>
      <w:r w:rsidR="00CF7D8B" w:rsidRPr="003B176F">
        <w:rPr>
          <w:rFonts w:ascii="Times New Roman" w:eastAsia="Calibri" w:hAnsi="Times New Roman" w:cs="Times New Roman"/>
          <w:kern w:val="0"/>
          <w:sz w:val="28"/>
          <w:szCs w:val="28"/>
        </w:rPr>
        <w:t>»</w:t>
      </w:r>
      <w:r w:rsidRPr="003B176F">
        <w:rPr>
          <w:rFonts w:ascii="Times New Roman" w:eastAsia="Calibri" w:hAnsi="Times New Roman" w:cs="Times New Roman"/>
          <w:kern w:val="0"/>
          <w:sz w:val="28"/>
          <w:szCs w:val="28"/>
        </w:rPr>
        <w:t xml:space="preserve"> щодо мікроскопічних грибів-</w:t>
      </w:r>
      <w:proofErr w:type="spellStart"/>
      <w:r w:rsidRPr="003B176F">
        <w:rPr>
          <w:rFonts w:ascii="Times New Roman" w:eastAsia="Calibri" w:hAnsi="Times New Roman" w:cs="Times New Roman"/>
          <w:kern w:val="0"/>
          <w:sz w:val="28"/>
          <w:szCs w:val="28"/>
        </w:rPr>
        <w:t>біодеструкторів</w:t>
      </w:r>
      <w:proofErr w:type="spellEnd"/>
      <w:r w:rsidRPr="003B176F">
        <w:rPr>
          <w:rFonts w:ascii="Times New Roman" w:eastAsia="Calibri" w:hAnsi="Times New Roman" w:cs="Times New Roman"/>
          <w:kern w:val="0"/>
          <w:sz w:val="28"/>
          <w:szCs w:val="28"/>
        </w:rPr>
        <w:t xml:space="preserve"> паперу та грибостійкість різних типів паперу </w:t>
      </w:r>
      <w:r w:rsidR="006D6669" w:rsidRPr="003B176F">
        <w:rPr>
          <w:rFonts w:ascii="Times New Roman" w:eastAsia="Calibri" w:hAnsi="Times New Roman" w:cs="Times New Roman"/>
          <w:kern w:val="0"/>
          <w:sz w:val="28"/>
          <w:szCs w:val="28"/>
        </w:rPr>
        <w:t xml:space="preserve">після </w:t>
      </w:r>
      <w:r w:rsidRPr="003B176F">
        <w:rPr>
          <w:rFonts w:ascii="Times New Roman" w:eastAsia="Calibri" w:hAnsi="Times New Roman" w:cs="Times New Roman"/>
          <w:kern w:val="0"/>
          <w:sz w:val="28"/>
          <w:szCs w:val="28"/>
        </w:rPr>
        <w:t>оброб</w:t>
      </w:r>
      <w:r w:rsidR="006D6669" w:rsidRPr="003B176F">
        <w:rPr>
          <w:rFonts w:ascii="Times New Roman" w:eastAsia="Calibri" w:hAnsi="Times New Roman" w:cs="Times New Roman"/>
          <w:kern w:val="0"/>
          <w:sz w:val="28"/>
          <w:szCs w:val="28"/>
        </w:rPr>
        <w:t>лення</w:t>
      </w:r>
      <w:r w:rsidRPr="003B176F">
        <w:rPr>
          <w:rFonts w:ascii="Times New Roman" w:eastAsia="Calibri" w:hAnsi="Times New Roman" w:cs="Times New Roman"/>
          <w:kern w:val="0"/>
          <w:sz w:val="28"/>
          <w:szCs w:val="28"/>
        </w:rPr>
        <w:t xml:space="preserve"> цим препаратом. </w:t>
      </w:r>
      <w:r w:rsidR="004C408E" w:rsidRPr="003B176F">
        <w:rPr>
          <w:rFonts w:ascii="Times New Roman" w:eastAsia="Calibri" w:hAnsi="Times New Roman" w:cs="Times New Roman"/>
          <w:kern w:val="0"/>
          <w:sz w:val="28"/>
          <w:szCs w:val="28"/>
          <w:lang w:val="ru-RU"/>
        </w:rPr>
        <w:t xml:space="preserve">Показано, </w:t>
      </w:r>
      <w:proofErr w:type="spellStart"/>
      <w:r w:rsidR="004C408E" w:rsidRPr="003B176F">
        <w:rPr>
          <w:rFonts w:ascii="Times New Roman" w:eastAsia="Calibri" w:hAnsi="Times New Roman" w:cs="Times New Roman"/>
          <w:kern w:val="0"/>
          <w:sz w:val="28"/>
          <w:szCs w:val="28"/>
          <w:lang w:val="ru-RU"/>
        </w:rPr>
        <w:t>що</w:t>
      </w:r>
      <w:proofErr w:type="spellEnd"/>
      <w:r w:rsidR="004C408E" w:rsidRPr="003B176F">
        <w:rPr>
          <w:rFonts w:ascii="Times New Roman" w:eastAsia="Calibri" w:hAnsi="Times New Roman" w:cs="Times New Roman"/>
          <w:kern w:val="0"/>
          <w:sz w:val="28"/>
          <w:szCs w:val="28"/>
          <w:lang w:val="ru-RU"/>
        </w:rPr>
        <w:t xml:space="preserve"> </w:t>
      </w:r>
      <w:r w:rsidR="00CF7D8B" w:rsidRPr="003B176F">
        <w:rPr>
          <w:rFonts w:ascii="Times New Roman" w:eastAsia="Calibri" w:hAnsi="Times New Roman" w:cs="Times New Roman"/>
          <w:kern w:val="0"/>
          <w:sz w:val="28"/>
          <w:szCs w:val="28"/>
          <w:lang w:val="ru-RU"/>
        </w:rPr>
        <w:t>«</w:t>
      </w:r>
      <w:r w:rsidRPr="003B176F">
        <w:rPr>
          <w:rFonts w:ascii="Times New Roman" w:eastAsia="Aptos" w:hAnsi="Times New Roman" w:cs="Times New Roman"/>
          <w:kern w:val="0"/>
          <w:sz w:val="28"/>
          <w:szCs w:val="28"/>
        </w:rPr>
        <w:t>Акватон</w:t>
      </w:r>
      <w:r w:rsidR="00CF7D8B" w:rsidRPr="003B176F">
        <w:rPr>
          <w:rFonts w:ascii="Times New Roman" w:eastAsia="Aptos" w:hAnsi="Times New Roman" w:cs="Times New Roman"/>
          <w:kern w:val="0"/>
          <w:sz w:val="28"/>
          <w:szCs w:val="28"/>
        </w:rPr>
        <w:t>»</w:t>
      </w:r>
      <w:r w:rsidRPr="003B176F">
        <w:rPr>
          <w:rFonts w:ascii="Times New Roman" w:eastAsia="Aptos" w:hAnsi="Times New Roman" w:cs="Times New Roman"/>
          <w:kern w:val="0"/>
          <w:sz w:val="28"/>
          <w:szCs w:val="28"/>
        </w:rPr>
        <w:t xml:space="preserve"> характеризується високою фунгіцидною активністю щодо основних агентів біодеструкції паперу. Встановлено, що оброб</w:t>
      </w:r>
      <w:r w:rsidR="00A07EBE" w:rsidRPr="003B176F">
        <w:rPr>
          <w:rFonts w:ascii="Times New Roman" w:eastAsia="Aptos" w:hAnsi="Times New Roman" w:cs="Times New Roman"/>
          <w:kern w:val="0"/>
          <w:sz w:val="28"/>
          <w:szCs w:val="28"/>
        </w:rPr>
        <w:t>лення</w:t>
      </w:r>
      <w:r w:rsidRPr="003B176F">
        <w:rPr>
          <w:rFonts w:ascii="Times New Roman" w:eastAsia="Aptos" w:hAnsi="Times New Roman" w:cs="Times New Roman"/>
          <w:kern w:val="0"/>
          <w:sz w:val="28"/>
          <w:szCs w:val="28"/>
        </w:rPr>
        <w:t xml:space="preserve"> препаратом сприяє підвищенню грибостійкості окремих </w:t>
      </w:r>
      <w:r w:rsidR="00A940D8" w:rsidRPr="003B176F">
        <w:rPr>
          <w:rFonts w:ascii="Times New Roman" w:eastAsia="Aptos" w:hAnsi="Times New Roman" w:cs="Times New Roman"/>
          <w:kern w:val="0"/>
          <w:sz w:val="28"/>
          <w:szCs w:val="28"/>
        </w:rPr>
        <w:t xml:space="preserve">його </w:t>
      </w:r>
      <w:r w:rsidRPr="003B176F">
        <w:rPr>
          <w:rFonts w:ascii="Times New Roman" w:eastAsia="Aptos" w:hAnsi="Times New Roman" w:cs="Times New Roman"/>
          <w:kern w:val="0"/>
          <w:sz w:val="28"/>
          <w:szCs w:val="28"/>
        </w:rPr>
        <w:t>типів, найбільший захисний ефект встановлено для ганчір'яного паперу.</w:t>
      </w:r>
    </w:p>
    <w:p w14:paraId="66EEDBD7" w14:textId="77777777" w:rsidR="00A940D8" w:rsidRPr="003B176F" w:rsidRDefault="00A940D8" w:rsidP="009B701C">
      <w:pPr>
        <w:spacing w:after="0" w:line="360" w:lineRule="auto"/>
        <w:jc w:val="both"/>
        <w:rPr>
          <w:rFonts w:ascii="Times New Roman" w:eastAsia="Calibri" w:hAnsi="Times New Roman" w:cs="Times New Roman"/>
          <w:kern w:val="0"/>
          <w:sz w:val="28"/>
          <w:szCs w:val="28"/>
          <w:lang w:val="ru-RU"/>
        </w:rPr>
      </w:pPr>
      <w:r w:rsidRPr="003B176F">
        <w:rPr>
          <w:rFonts w:ascii="Times New Roman" w:eastAsia="Calibri" w:hAnsi="Times New Roman" w:cs="Times New Roman"/>
          <w:i/>
          <w:kern w:val="0"/>
          <w:sz w:val="28"/>
          <w:szCs w:val="28"/>
        </w:rPr>
        <w:t xml:space="preserve">Ключові слова: </w:t>
      </w:r>
      <w:r w:rsidRPr="003B176F">
        <w:rPr>
          <w:rFonts w:ascii="Times New Roman" w:eastAsia="Calibri" w:hAnsi="Times New Roman" w:cs="Times New Roman"/>
          <w:kern w:val="0"/>
          <w:sz w:val="28"/>
          <w:szCs w:val="28"/>
        </w:rPr>
        <w:t>мікроміцети, біодеструкція, антифунгальна активність, папір.</w:t>
      </w:r>
    </w:p>
    <w:p w14:paraId="7474B120" w14:textId="77777777" w:rsidR="00A940D8" w:rsidRPr="003B176F" w:rsidRDefault="00A940D8" w:rsidP="009B701C">
      <w:pPr>
        <w:widowControl w:val="0"/>
        <w:spacing w:after="0" w:line="360" w:lineRule="auto"/>
        <w:rPr>
          <w:rFonts w:ascii="Times New Roman" w:eastAsia="Calibri" w:hAnsi="Times New Roman" w:cs="Times New Roman"/>
          <w:kern w:val="0"/>
          <w:sz w:val="28"/>
          <w:szCs w:val="28"/>
        </w:rPr>
      </w:pPr>
    </w:p>
    <w:p w14:paraId="3BBC19A7" w14:textId="77777777" w:rsidR="00A940D8" w:rsidRPr="003B176F" w:rsidRDefault="00A940D8" w:rsidP="009B701C">
      <w:pPr>
        <w:spacing w:after="0" w:line="360" w:lineRule="auto"/>
        <w:ind w:firstLine="567"/>
        <w:jc w:val="both"/>
        <w:rPr>
          <w:rFonts w:ascii="Times New Roman" w:eastAsia="Aptos" w:hAnsi="Times New Roman" w:cs="Times New Roman"/>
          <w:sz w:val="28"/>
          <w:szCs w:val="28"/>
        </w:rPr>
      </w:pPr>
      <w:r w:rsidRPr="003B176F">
        <w:rPr>
          <w:rFonts w:ascii="Times New Roman" w:eastAsia="Aptos" w:hAnsi="Times New Roman" w:cs="Times New Roman"/>
          <w:sz w:val="28"/>
          <w:szCs w:val="28"/>
        </w:rPr>
        <w:lastRenderedPageBreak/>
        <w:t>Біодеструкція паперу, спричинена мікроміцетами, є однією з основних причин пошкодження архівних документів, бібліотечних фондів, музейних експонатів та інших об'єктів культурної спадщини. Розвиток грибів призводить до руйнування целюлозних волокон, погіршення механічної міцності, зміни кольору та втрати експлуатаційних і культурно-історичних властивостей паперу. У зв'язку з цим пошук ефективних фунгіцидних засобів для захисту паперових матеріалів є актуальним завданням реставрації та консервації документів.</w:t>
      </w:r>
      <w:r w:rsidRPr="003B176F">
        <w:rPr>
          <w:rFonts w:ascii="Aptos" w:eastAsia="Aptos" w:hAnsi="Aptos" w:cs="Times New Roman"/>
          <w:sz w:val="24"/>
          <w:szCs w:val="24"/>
        </w:rPr>
        <w:t xml:space="preserve"> </w:t>
      </w:r>
      <w:r w:rsidRPr="003B176F">
        <w:rPr>
          <w:rFonts w:ascii="Times New Roman" w:eastAsia="Aptos" w:hAnsi="Times New Roman" w:cs="Times New Roman"/>
          <w:sz w:val="28"/>
          <w:szCs w:val="28"/>
        </w:rPr>
        <w:t>Одним із перспективних напрямів захисту паперових матеріалів є використання полігуанідинових біоцидів. Зокрема, полігексаметиленгуанідину гідрохлорид (ПГМГ) — д</w:t>
      </w:r>
      <w:r w:rsidR="006D6669" w:rsidRPr="003B176F">
        <w:rPr>
          <w:rFonts w:ascii="Times New Roman" w:eastAsia="Aptos" w:hAnsi="Times New Roman" w:cs="Times New Roman"/>
          <w:sz w:val="28"/>
          <w:szCs w:val="28"/>
        </w:rPr>
        <w:t xml:space="preserve">іюча речовина препарату </w:t>
      </w:r>
      <w:r w:rsidR="00CF7D8B" w:rsidRPr="003B176F">
        <w:rPr>
          <w:rFonts w:ascii="Times New Roman" w:eastAsia="Aptos" w:hAnsi="Times New Roman" w:cs="Times New Roman"/>
          <w:sz w:val="28"/>
          <w:szCs w:val="28"/>
        </w:rPr>
        <w:t>«</w:t>
      </w:r>
      <w:r w:rsidR="006D6669" w:rsidRPr="003B176F">
        <w:rPr>
          <w:rFonts w:ascii="Times New Roman" w:eastAsia="Aptos" w:hAnsi="Times New Roman" w:cs="Times New Roman"/>
          <w:sz w:val="28"/>
          <w:szCs w:val="28"/>
        </w:rPr>
        <w:t>Акватон</w:t>
      </w:r>
      <w:r w:rsidR="00CF7D8B" w:rsidRPr="003B176F">
        <w:rPr>
          <w:rFonts w:ascii="Times New Roman" w:eastAsia="Aptos" w:hAnsi="Times New Roman" w:cs="Times New Roman"/>
          <w:sz w:val="28"/>
          <w:szCs w:val="28"/>
        </w:rPr>
        <w:t>»</w:t>
      </w:r>
      <w:r w:rsidR="004C408E" w:rsidRPr="003B176F">
        <w:rPr>
          <w:rFonts w:ascii="Times New Roman" w:eastAsia="Aptos" w:hAnsi="Times New Roman" w:cs="Times New Roman"/>
          <w:sz w:val="28"/>
          <w:szCs w:val="28"/>
        </w:rPr>
        <w:t xml:space="preserve"> — </w:t>
      </w:r>
      <w:r w:rsidRPr="003B176F">
        <w:rPr>
          <w:rFonts w:ascii="Times New Roman" w:eastAsia="Aptos" w:hAnsi="Times New Roman" w:cs="Times New Roman"/>
          <w:sz w:val="28"/>
          <w:szCs w:val="28"/>
        </w:rPr>
        <w:t>характеризується широким спектром антимікробної дії, ефективний щодо бактер</w:t>
      </w:r>
      <w:r w:rsidR="004C408E" w:rsidRPr="003B176F">
        <w:rPr>
          <w:rFonts w:ascii="Times New Roman" w:eastAsia="Aptos" w:hAnsi="Times New Roman" w:cs="Times New Roman"/>
          <w:sz w:val="28"/>
          <w:szCs w:val="28"/>
        </w:rPr>
        <w:t>ій і мікроскопічних грибів та від</w:t>
      </w:r>
      <w:r w:rsidRPr="003B176F">
        <w:rPr>
          <w:rFonts w:ascii="Times New Roman" w:eastAsia="Aptos" w:hAnsi="Times New Roman" w:cs="Times New Roman"/>
          <w:sz w:val="28"/>
          <w:szCs w:val="28"/>
        </w:rPr>
        <w:t xml:space="preserve">різняється низькою токсичністю, що робить його перспективним для застосування у технологіях консервації та реставрації паперових матеріалів. Метою роботи було дослідити фунгіцидну активність препарату </w:t>
      </w:r>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Акватон</w:t>
      </w:r>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 xml:space="preserve"> щодо основних агентів біодеструкції паперу та оцінити його вплив на грибостійкість різних типів паперу.</w:t>
      </w:r>
    </w:p>
    <w:p w14:paraId="3A30ED6A" w14:textId="77777777" w:rsidR="00A940D8" w:rsidRPr="003B176F" w:rsidRDefault="00A940D8" w:rsidP="009B701C">
      <w:pPr>
        <w:widowControl w:val="0"/>
        <w:spacing w:after="0" w:line="360" w:lineRule="auto"/>
        <w:ind w:firstLine="567"/>
        <w:jc w:val="both"/>
        <w:rPr>
          <w:rFonts w:ascii="Times New Roman" w:eastAsia="Times New Roman" w:hAnsi="Times New Roman" w:cs="Times New Roman"/>
          <w:kern w:val="0"/>
          <w:sz w:val="28"/>
          <w:lang w:eastAsia="ru-RU"/>
        </w:rPr>
      </w:pPr>
      <w:r w:rsidRPr="003B176F">
        <w:rPr>
          <w:rFonts w:ascii="Times New Roman" w:eastAsia="Aptos" w:hAnsi="Times New Roman" w:cs="Times New Roman"/>
          <w:sz w:val="28"/>
          <w:szCs w:val="28"/>
        </w:rPr>
        <w:t xml:space="preserve">Для дослідження використано тест-культури </w:t>
      </w:r>
      <w:r w:rsidRPr="003B176F">
        <w:rPr>
          <w:rFonts w:ascii="Times New Roman" w:eastAsia="Aptos" w:hAnsi="Times New Roman" w:cs="Times New Roman"/>
          <w:i/>
          <w:iCs/>
          <w:sz w:val="28"/>
          <w:szCs w:val="28"/>
        </w:rPr>
        <w:t>Alternaria alternata</w:t>
      </w:r>
      <w:r w:rsidRPr="003B176F">
        <w:rPr>
          <w:rFonts w:ascii="Times New Roman" w:eastAsia="Aptos" w:hAnsi="Times New Roman" w:cs="Times New Roman"/>
          <w:sz w:val="28"/>
          <w:szCs w:val="28"/>
        </w:rPr>
        <w:t xml:space="preserve"> F-41218, </w:t>
      </w:r>
      <w:r w:rsidRPr="003B176F">
        <w:rPr>
          <w:rFonts w:ascii="Times New Roman" w:eastAsia="Aptos" w:hAnsi="Times New Roman" w:cs="Times New Roman"/>
          <w:i/>
          <w:iCs/>
          <w:sz w:val="28"/>
          <w:szCs w:val="28"/>
        </w:rPr>
        <w:t>Acremonium strictum</w:t>
      </w:r>
      <w:r w:rsidRPr="003B176F">
        <w:rPr>
          <w:rFonts w:ascii="Times New Roman" w:eastAsia="Aptos" w:hAnsi="Times New Roman" w:cs="Times New Roman"/>
          <w:sz w:val="28"/>
          <w:szCs w:val="28"/>
        </w:rPr>
        <w:t xml:space="preserve"> F-16776, </w:t>
      </w:r>
      <w:r w:rsidRPr="003B176F">
        <w:rPr>
          <w:rFonts w:ascii="Times New Roman" w:eastAsia="Aptos" w:hAnsi="Times New Roman" w:cs="Times New Roman"/>
          <w:i/>
          <w:iCs/>
          <w:sz w:val="28"/>
          <w:szCs w:val="28"/>
        </w:rPr>
        <w:t>Aspergillus niger</w:t>
      </w:r>
      <w:r w:rsidRPr="003B176F">
        <w:rPr>
          <w:rFonts w:ascii="Times New Roman" w:eastAsia="Aptos" w:hAnsi="Times New Roman" w:cs="Times New Roman"/>
          <w:sz w:val="28"/>
          <w:szCs w:val="28"/>
        </w:rPr>
        <w:t xml:space="preserve"> F-73001, </w:t>
      </w:r>
      <w:r w:rsidRPr="003B176F">
        <w:rPr>
          <w:rFonts w:ascii="Times New Roman" w:eastAsia="Aptos" w:hAnsi="Times New Roman" w:cs="Times New Roman"/>
          <w:i/>
          <w:iCs/>
          <w:sz w:val="28"/>
          <w:szCs w:val="28"/>
        </w:rPr>
        <w:t>Aspergillus terreus</w:t>
      </w:r>
      <w:r w:rsidRPr="003B176F">
        <w:rPr>
          <w:rFonts w:ascii="Times New Roman" w:eastAsia="Aptos" w:hAnsi="Times New Roman" w:cs="Times New Roman"/>
          <w:sz w:val="28"/>
          <w:szCs w:val="28"/>
        </w:rPr>
        <w:t xml:space="preserve"> F-16718, </w:t>
      </w:r>
      <w:r w:rsidRPr="003B176F">
        <w:rPr>
          <w:rFonts w:ascii="Times New Roman" w:eastAsia="Aptos" w:hAnsi="Times New Roman" w:cs="Times New Roman"/>
          <w:i/>
          <w:iCs/>
          <w:sz w:val="28"/>
          <w:szCs w:val="28"/>
        </w:rPr>
        <w:t>Aspergillus versicolor</w:t>
      </w:r>
      <w:r w:rsidRPr="003B176F">
        <w:rPr>
          <w:rFonts w:ascii="Times New Roman" w:eastAsia="Aptos" w:hAnsi="Times New Roman" w:cs="Times New Roman"/>
          <w:sz w:val="28"/>
          <w:szCs w:val="28"/>
        </w:rPr>
        <w:t xml:space="preserve"> F-41226, </w:t>
      </w:r>
      <w:r w:rsidRPr="003B176F">
        <w:rPr>
          <w:rFonts w:ascii="Times New Roman" w:eastAsia="Aptos" w:hAnsi="Times New Roman" w:cs="Times New Roman"/>
          <w:i/>
          <w:iCs/>
          <w:sz w:val="28"/>
          <w:szCs w:val="28"/>
        </w:rPr>
        <w:t>Paecilomyces variotii</w:t>
      </w:r>
      <w:r w:rsidRPr="003B176F">
        <w:rPr>
          <w:rFonts w:ascii="Times New Roman" w:eastAsia="Aptos" w:hAnsi="Times New Roman" w:cs="Times New Roman"/>
          <w:sz w:val="28"/>
          <w:szCs w:val="28"/>
        </w:rPr>
        <w:t xml:space="preserve"> F-16715, </w:t>
      </w:r>
      <w:r w:rsidRPr="003B176F">
        <w:rPr>
          <w:rFonts w:ascii="Times New Roman" w:eastAsia="Aptos" w:hAnsi="Times New Roman" w:cs="Times New Roman"/>
          <w:i/>
          <w:iCs/>
          <w:sz w:val="28"/>
          <w:szCs w:val="28"/>
        </w:rPr>
        <w:t>Cladosporium sphaerospermum</w:t>
      </w:r>
      <w:r w:rsidRPr="003B176F">
        <w:rPr>
          <w:rFonts w:ascii="Times New Roman" w:eastAsia="Aptos" w:hAnsi="Times New Roman" w:cs="Times New Roman"/>
          <w:sz w:val="28"/>
          <w:szCs w:val="28"/>
        </w:rPr>
        <w:t xml:space="preserve"> F-41232, </w:t>
      </w:r>
      <w:r w:rsidRPr="003B176F">
        <w:rPr>
          <w:rFonts w:ascii="Times New Roman" w:eastAsia="Aptos" w:hAnsi="Times New Roman" w:cs="Times New Roman"/>
          <w:i/>
          <w:iCs/>
          <w:sz w:val="28"/>
          <w:szCs w:val="28"/>
        </w:rPr>
        <w:t>Penicillium brevicompactum</w:t>
      </w:r>
      <w:r w:rsidRPr="003B176F">
        <w:rPr>
          <w:rFonts w:ascii="Times New Roman" w:eastAsia="Aptos" w:hAnsi="Times New Roman" w:cs="Times New Roman"/>
          <w:sz w:val="28"/>
          <w:szCs w:val="28"/>
        </w:rPr>
        <w:t xml:space="preserve"> F-16756, </w:t>
      </w:r>
      <w:r w:rsidRPr="003B176F">
        <w:rPr>
          <w:rFonts w:ascii="Times New Roman" w:eastAsia="Aptos" w:hAnsi="Times New Roman" w:cs="Times New Roman"/>
          <w:i/>
          <w:iCs/>
          <w:sz w:val="28"/>
          <w:szCs w:val="28"/>
        </w:rPr>
        <w:t>Penicillium funiculosum</w:t>
      </w:r>
      <w:r w:rsidRPr="003B176F">
        <w:rPr>
          <w:rFonts w:ascii="Times New Roman" w:eastAsia="Aptos" w:hAnsi="Times New Roman" w:cs="Times New Roman"/>
          <w:sz w:val="28"/>
          <w:szCs w:val="28"/>
        </w:rPr>
        <w:t xml:space="preserve"> F-16719 та </w:t>
      </w:r>
      <w:r w:rsidRPr="003B176F">
        <w:rPr>
          <w:rFonts w:ascii="Times New Roman" w:eastAsia="Aptos" w:hAnsi="Times New Roman" w:cs="Times New Roman"/>
          <w:i/>
          <w:iCs/>
          <w:sz w:val="28"/>
          <w:szCs w:val="28"/>
        </w:rPr>
        <w:t>Trichoderma viride</w:t>
      </w:r>
      <w:r w:rsidRPr="003B176F">
        <w:rPr>
          <w:rFonts w:ascii="Times New Roman" w:eastAsia="Aptos" w:hAnsi="Times New Roman" w:cs="Times New Roman"/>
          <w:sz w:val="28"/>
          <w:szCs w:val="28"/>
        </w:rPr>
        <w:t xml:space="preserve"> F-16713. Тест-культури мікроміцетів зберігаються в колекції Випробувальної лабораторії грибостійкості і мікробіологічних досліджень технічних, медичних виробів і матеріалів Інституту мікробіології і вірусології ім. Д.</w:t>
      </w:r>
      <w:r w:rsidR="009B701C" w:rsidRPr="003B176F">
        <w:rPr>
          <w:rFonts w:ascii="Times New Roman" w:eastAsia="Aptos" w:hAnsi="Times New Roman" w:cs="Times New Roman"/>
          <w:sz w:val="28"/>
          <w:szCs w:val="28"/>
        </w:rPr>
        <w:t xml:space="preserve"> </w:t>
      </w:r>
      <w:r w:rsidRPr="003B176F">
        <w:rPr>
          <w:rFonts w:ascii="Times New Roman" w:eastAsia="Aptos" w:hAnsi="Times New Roman" w:cs="Times New Roman"/>
          <w:sz w:val="28"/>
          <w:szCs w:val="28"/>
        </w:rPr>
        <w:t xml:space="preserve">К. Заболотного Національної академії наук України. Фунгіцидну активність визначали методом дифузії в агар. Чутливість тест-культур оцінювали за діаметром зони затримки росту мікроміцетів: понад 25 мм — висока, 15–25 мм — середня, менше 15 мм — низька, 0 мм — відсутність активності. Грибостійкість ганчір'яного, газетного, друкарського та офсетного паперу визначали за п'ятибальною шкалою після обробки препаратом </w:t>
      </w:r>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Акватон</w:t>
      </w:r>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 xml:space="preserve">. </w:t>
      </w:r>
      <w:r w:rsidRPr="003B176F">
        <w:rPr>
          <w:rFonts w:ascii="Times New Roman" w:eastAsia="Times New Roman" w:hAnsi="Times New Roman" w:cs="Times New Roman"/>
          <w:kern w:val="0"/>
          <w:sz w:val="28"/>
          <w:lang w:eastAsia="ru-RU"/>
        </w:rPr>
        <w:t xml:space="preserve">Всі дослідження проводили у 3-кратній </w:t>
      </w:r>
      <w:r w:rsidRPr="003B176F">
        <w:rPr>
          <w:rFonts w:ascii="Times New Roman" w:eastAsia="Times New Roman" w:hAnsi="Times New Roman" w:cs="Times New Roman"/>
          <w:kern w:val="0"/>
          <w:sz w:val="28"/>
          <w:lang w:eastAsia="ru-RU"/>
        </w:rPr>
        <w:lastRenderedPageBreak/>
        <w:t xml:space="preserve">повторності. </w:t>
      </w:r>
    </w:p>
    <w:p w14:paraId="0210DBDF" w14:textId="77777777" w:rsidR="00480E35" w:rsidRPr="003B176F" w:rsidRDefault="00A940D8" w:rsidP="009B701C">
      <w:pPr>
        <w:spacing w:after="0" w:line="360" w:lineRule="auto"/>
        <w:ind w:firstLine="567"/>
        <w:jc w:val="both"/>
        <w:rPr>
          <w:rFonts w:ascii="Times New Roman" w:eastAsia="Aptos" w:hAnsi="Times New Roman" w:cs="Times New Roman"/>
          <w:sz w:val="28"/>
          <w:szCs w:val="28"/>
        </w:rPr>
      </w:pPr>
      <w:r w:rsidRPr="003B176F">
        <w:rPr>
          <w:rFonts w:ascii="Times New Roman" w:eastAsia="Aptos" w:hAnsi="Times New Roman" w:cs="Times New Roman"/>
          <w:sz w:val="28"/>
          <w:szCs w:val="28"/>
        </w:rPr>
        <w:t xml:space="preserve">Препарат </w:t>
      </w:r>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Акватон</w:t>
      </w:r>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 xml:space="preserve"> проявив високу фунгіцидну активність щодо більшості досліджених тест-культур</w:t>
      </w:r>
      <w:r w:rsidR="00480E35" w:rsidRPr="003B176F">
        <w:rPr>
          <w:rFonts w:ascii="Times New Roman" w:eastAsia="Aptos" w:hAnsi="Times New Roman" w:cs="Times New Roman"/>
          <w:sz w:val="28"/>
          <w:szCs w:val="28"/>
        </w:rPr>
        <w:t xml:space="preserve"> (табл. 1)</w:t>
      </w:r>
      <w:r w:rsidRPr="003B176F">
        <w:rPr>
          <w:rFonts w:ascii="Times New Roman" w:eastAsia="Aptos" w:hAnsi="Times New Roman" w:cs="Times New Roman"/>
          <w:sz w:val="28"/>
          <w:szCs w:val="28"/>
        </w:rPr>
        <w:t xml:space="preserve">. Фунгіцидну дію встановлено щодо 9 із 10 досліджуваних видів мікроміцетів. </w:t>
      </w:r>
    </w:p>
    <w:p w14:paraId="5BCF9DC0" w14:textId="77777777" w:rsidR="00B67AE7" w:rsidRPr="003B176F" w:rsidRDefault="00B67AE7" w:rsidP="00B67AE7">
      <w:pPr>
        <w:spacing w:after="0" w:line="360" w:lineRule="auto"/>
        <w:ind w:firstLine="567"/>
        <w:jc w:val="right"/>
        <w:rPr>
          <w:rFonts w:ascii="Times New Roman" w:eastAsia="Aptos" w:hAnsi="Times New Roman" w:cs="Times New Roman"/>
          <w:sz w:val="28"/>
          <w:szCs w:val="28"/>
        </w:rPr>
      </w:pPr>
      <w:r w:rsidRPr="003B176F">
        <w:rPr>
          <w:rFonts w:ascii="Times New Roman" w:eastAsia="Aptos" w:hAnsi="Times New Roman" w:cs="Times New Roman"/>
          <w:bCs/>
          <w:sz w:val="28"/>
          <w:szCs w:val="28"/>
        </w:rPr>
        <w:t>Таблиця 1</w:t>
      </w:r>
    </w:p>
    <w:p w14:paraId="46E3C13E" w14:textId="77777777" w:rsidR="00480E35" w:rsidRPr="003B176F" w:rsidRDefault="00480E35" w:rsidP="009B701C">
      <w:pPr>
        <w:spacing w:after="0" w:line="360" w:lineRule="auto"/>
        <w:jc w:val="center"/>
        <w:rPr>
          <w:rFonts w:ascii="Times New Roman" w:eastAsia="Aptos" w:hAnsi="Times New Roman" w:cs="Times New Roman"/>
          <w:bCs/>
          <w:sz w:val="28"/>
          <w:szCs w:val="28"/>
        </w:rPr>
      </w:pPr>
      <w:r w:rsidRPr="003B176F">
        <w:rPr>
          <w:rFonts w:ascii="Times New Roman" w:eastAsia="Aptos" w:hAnsi="Times New Roman" w:cs="Times New Roman"/>
          <w:bCs/>
          <w:sz w:val="28"/>
          <w:szCs w:val="28"/>
        </w:rPr>
        <w:t xml:space="preserve">Антифунгальна активність </w:t>
      </w:r>
      <w:r w:rsidR="004C408E" w:rsidRPr="003B176F">
        <w:rPr>
          <w:rFonts w:ascii="Times New Roman" w:eastAsia="Aptos" w:hAnsi="Times New Roman" w:cs="Times New Roman"/>
          <w:bCs/>
          <w:sz w:val="28"/>
          <w:szCs w:val="28"/>
        </w:rPr>
        <w:t xml:space="preserve">препарату </w:t>
      </w:r>
      <w:r w:rsidR="00CF7D8B" w:rsidRPr="003B176F">
        <w:rPr>
          <w:rFonts w:ascii="Times New Roman" w:eastAsia="Aptos" w:hAnsi="Times New Roman" w:cs="Times New Roman"/>
          <w:bCs/>
          <w:sz w:val="28"/>
          <w:szCs w:val="28"/>
        </w:rPr>
        <w:t>«</w:t>
      </w:r>
      <w:r w:rsidRPr="003B176F">
        <w:rPr>
          <w:rFonts w:ascii="Times New Roman" w:eastAsia="Aptos" w:hAnsi="Times New Roman" w:cs="Times New Roman"/>
          <w:bCs/>
          <w:sz w:val="28"/>
          <w:szCs w:val="28"/>
        </w:rPr>
        <w:t>Акватон</w:t>
      </w:r>
      <w:r w:rsidR="00CF7D8B" w:rsidRPr="003B176F">
        <w:rPr>
          <w:rFonts w:ascii="Times New Roman" w:eastAsia="Aptos" w:hAnsi="Times New Roman" w:cs="Times New Roman"/>
          <w:bCs/>
          <w:sz w:val="28"/>
          <w:szCs w:val="28"/>
        </w:rPr>
        <w:t>»</w:t>
      </w:r>
    </w:p>
    <w:tbl>
      <w:tblPr>
        <w:tblStyle w:val="ae"/>
        <w:tblW w:w="8755" w:type="dxa"/>
        <w:jc w:val="center"/>
        <w:tblLook w:val="04A0" w:firstRow="1" w:lastRow="0" w:firstColumn="1" w:lastColumn="0" w:noHBand="0" w:noVBand="1"/>
      </w:tblPr>
      <w:tblGrid>
        <w:gridCol w:w="3798"/>
        <w:gridCol w:w="2697"/>
        <w:gridCol w:w="2260"/>
      </w:tblGrid>
      <w:tr w:rsidR="00480E35" w:rsidRPr="003B176F" w14:paraId="189EA9A0"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2A7946FC"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Тест-культури мікроміцетів</w:t>
            </w:r>
          </w:p>
        </w:tc>
        <w:tc>
          <w:tcPr>
            <w:tcW w:w="2697" w:type="dxa"/>
            <w:tcBorders>
              <w:top w:val="single" w:sz="4" w:space="0" w:color="auto"/>
              <w:left w:val="single" w:sz="4" w:space="0" w:color="auto"/>
              <w:bottom w:val="single" w:sz="4" w:space="0" w:color="auto"/>
              <w:right w:val="single" w:sz="4" w:space="0" w:color="auto"/>
            </w:tcBorders>
            <w:noWrap/>
            <w:hideMark/>
          </w:tcPr>
          <w:p w14:paraId="09A4F4C3"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Діаметр зони затримки росту, мм</w:t>
            </w:r>
          </w:p>
        </w:tc>
        <w:tc>
          <w:tcPr>
            <w:tcW w:w="2260" w:type="dxa"/>
            <w:tcBorders>
              <w:top w:val="single" w:sz="4" w:space="0" w:color="auto"/>
              <w:left w:val="single" w:sz="4" w:space="0" w:color="auto"/>
              <w:bottom w:val="single" w:sz="4" w:space="0" w:color="auto"/>
              <w:right w:val="single" w:sz="4" w:space="0" w:color="auto"/>
            </w:tcBorders>
            <w:noWrap/>
            <w:hideMark/>
          </w:tcPr>
          <w:p w14:paraId="184E8DB2"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Дія</w:t>
            </w:r>
          </w:p>
        </w:tc>
      </w:tr>
      <w:tr w:rsidR="00480E35" w:rsidRPr="003B176F" w14:paraId="5225E644"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19DE2F4D"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Alteraria alterata</w:t>
            </w:r>
          </w:p>
        </w:tc>
        <w:tc>
          <w:tcPr>
            <w:tcW w:w="2697" w:type="dxa"/>
            <w:tcBorders>
              <w:top w:val="single" w:sz="4" w:space="0" w:color="auto"/>
              <w:left w:val="single" w:sz="4" w:space="0" w:color="auto"/>
              <w:bottom w:val="single" w:sz="4" w:space="0" w:color="auto"/>
              <w:right w:val="single" w:sz="4" w:space="0" w:color="auto"/>
            </w:tcBorders>
            <w:noWrap/>
            <w:hideMark/>
          </w:tcPr>
          <w:p w14:paraId="7BC95E15" w14:textId="77777777" w:rsidR="00480E35" w:rsidRPr="003B176F" w:rsidRDefault="00480E35" w:rsidP="009B701C">
            <w:pPr>
              <w:spacing w:line="360" w:lineRule="auto"/>
              <w:jc w:val="center"/>
              <w:rPr>
                <w:rFonts w:ascii="Times New Roman" w:hAnsi="Times New Roman"/>
                <w:lang w:val="en-US"/>
              </w:rPr>
            </w:pPr>
            <w:r w:rsidRPr="003B176F">
              <w:rPr>
                <w:rFonts w:ascii="Times New Roman" w:hAnsi="Times New Roman"/>
              </w:rPr>
              <w:t>30 ± 0,5</w:t>
            </w:r>
          </w:p>
        </w:tc>
        <w:tc>
          <w:tcPr>
            <w:tcW w:w="2260" w:type="dxa"/>
            <w:tcBorders>
              <w:top w:val="single" w:sz="4" w:space="0" w:color="auto"/>
              <w:left w:val="single" w:sz="4" w:space="0" w:color="auto"/>
              <w:bottom w:val="single" w:sz="4" w:space="0" w:color="auto"/>
              <w:right w:val="single" w:sz="4" w:space="0" w:color="auto"/>
            </w:tcBorders>
            <w:noWrap/>
            <w:hideMark/>
          </w:tcPr>
          <w:p w14:paraId="772B45E9"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r w:rsidR="00480E35" w:rsidRPr="003B176F" w14:paraId="47A53FDD"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12FFAAD4"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 xml:space="preserve">Aspergillus </w:t>
            </w:r>
            <w:r w:rsidRPr="003B176F">
              <w:rPr>
                <w:rFonts w:ascii="Times New Roman" w:hAnsi="Times New Roman"/>
                <w:i/>
                <w:iCs/>
                <w:lang w:val="en-US"/>
              </w:rPr>
              <w:t>n</w:t>
            </w:r>
            <w:r w:rsidRPr="003B176F">
              <w:rPr>
                <w:rFonts w:ascii="Times New Roman" w:hAnsi="Times New Roman"/>
                <w:i/>
                <w:iCs/>
              </w:rPr>
              <w:t>iger</w:t>
            </w:r>
          </w:p>
        </w:tc>
        <w:tc>
          <w:tcPr>
            <w:tcW w:w="2697" w:type="dxa"/>
            <w:tcBorders>
              <w:top w:val="single" w:sz="4" w:space="0" w:color="auto"/>
              <w:left w:val="single" w:sz="4" w:space="0" w:color="auto"/>
              <w:bottom w:val="single" w:sz="4" w:space="0" w:color="auto"/>
              <w:right w:val="single" w:sz="4" w:space="0" w:color="auto"/>
            </w:tcBorders>
            <w:noWrap/>
            <w:hideMark/>
          </w:tcPr>
          <w:p w14:paraId="75493E9C"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15± 1,3</w:t>
            </w:r>
          </w:p>
        </w:tc>
        <w:tc>
          <w:tcPr>
            <w:tcW w:w="2260" w:type="dxa"/>
            <w:tcBorders>
              <w:top w:val="single" w:sz="4" w:space="0" w:color="auto"/>
              <w:left w:val="single" w:sz="4" w:space="0" w:color="auto"/>
              <w:bottom w:val="single" w:sz="4" w:space="0" w:color="auto"/>
              <w:right w:val="single" w:sz="4" w:space="0" w:color="auto"/>
            </w:tcBorders>
            <w:noWrap/>
            <w:hideMark/>
          </w:tcPr>
          <w:p w14:paraId="15F3DE56"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фунгістатична</w:t>
            </w:r>
          </w:p>
        </w:tc>
      </w:tr>
      <w:tr w:rsidR="00480E35" w:rsidRPr="003B176F" w14:paraId="630C3E6A"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298FEB16"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Aspergillus terreus</w:t>
            </w:r>
          </w:p>
        </w:tc>
        <w:tc>
          <w:tcPr>
            <w:tcW w:w="2697" w:type="dxa"/>
            <w:tcBorders>
              <w:top w:val="single" w:sz="4" w:space="0" w:color="auto"/>
              <w:left w:val="single" w:sz="4" w:space="0" w:color="auto"/>
              <w:bottom w:val="single" w:sz="4" w:space="0" w:color="auto"/>
              <w:right w:val="single" w:sz="4" w:space="0" w:color="auto"/>
            </w:tcBorders>
            <w:noWrap/>
            <w:hideMark/>
          </w:tcPr>
          <w:p w14:paraId="113A70C1"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30 ± 0,5</w:t>
            </w:r>
          </w:p>
        </w:tc>
        <w:tc>
          <w:tcPr>
            <w:tcW w:w="2260" w:type="dxa"/>
            <w:tcBorders>
              <w:top w:val="single" w:sz="4" w:space="0" w:color="auto"/>
              <w:left w:val="single" w:sz="4" w:space="0" w:color="auto"/>
              <w:bottom w:val="single" w:sz="4" w:space="0" w:color="auto"/>
              <w:right w:val="single" w:sz="4" w:space="0" w:color="auto"/>
            </w:tcBorders>
            <w:noWrap/>
            <w:hideMark/>
          </w:tcPr>
          <w:p w14:paraId="0A0453B7"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r w:rsidR="00480E35" w:rsidRPr="003B176F" w14:paraId="4B66E7A7"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67C3456B"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Aspergillus versicolor</w:t>
            </w:r>
          </w:p>
        </w:tc>
        <w:tc>
          <w:tcPr>
            <w:tcW w:w="2697" w:type="dxa"/>
            <w:tcBorders>
              <w:top w:val="single" w:sz="4" w:space="0" w:color="auto"/>
              <w:left w:val="single" w:sz="4" w:space="0" w:color="auto"/>
              <w:bottom w:val="single" w:sz="4" w:space="0" w:color="auto"/>
              <w:right w:val="single" w:sz="4" w:space="0" w:color="auto"/>
            </w:tcBorders>
            <w:noWrap/>
            <w:hideMark/>
          </w:tcPr>
          <w:p w14:paraId="494AFCB4"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30 ± 0,5</w:t>
            </w:r>
          </w:p>
        </w:tc>
        <w:tc>
          <w:tcPr>
            <w:tcW w:w="2260" w:type="dxa"/>
            <w:tcBorders>
              <w:top w:val="single" w:sz="4" w:space="0" w:color="auto"/>
              <w:left w:val="single" w:sz="4" w:space="0" w:color="auto"/>
              <w:bottom w:val="single" w:sz="4" w:space="0" w:color="auto"/>
              <w:right w:val="single" w:sz="4" w:space="0" w:color="auto"/>
            </w:tcBorders>
            <w:noWrap/>
            <w:hideMark/>
          </w:tcPr>
          <w:p w14:paraId="5CCD4F45"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r w:rsidR="00480E35" w:rsidRPr="003B176F" w14:paraId="1170C78F"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45D1C67D"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Aсremo</w:t>
            </w:r>
            <w:r w:rsidRPr="003B176F">
              <w:rPr>
                <w:rFonts w:ascii="Times New Roman" w:hAnsi="Times New Roman"/>
                <w:i/>
                <w:iCs/>
                <w:lang w:val="en-US"/>
              </w:rPr>
              <w:t>n</w:t>
            </w:r>
            <w:r w:rsidRPr="003B176F">
              <w:rPr>
                <w:rFonts w:ascii="Times New Roman" w:hAnsi="Times New Roman"/>
                <w:i/>
                <w:iCs/>
              </w:rPr>
              <w:t>ium strictum</w:t>
            </w:r>
          </w:p>
        </w:tc>
        <w:tc>
          <w:tcPr>
            <w:tcW w:w="2697" w:type="dxa"/>
            <w:tcBorders>
              <w:top w:val="single" w:sz="4" w:space="0" w:color="auto"/>
              <w:left w:val="single" w:sz="4" w:space="0" w:color="auto"/>
              <w:bottom w:val="single" w:sz="4" w:space="0" w:color="auto"/>
              <w:right w:val="single" w:sz="4" w:space="0" w:color="auto"/>
            </w:tcBorders>
            <w:noWrap/>
            <w:hideMark/>
          </w:tcPr>
          <w:p w14:paraId="1BB87491"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30 ± 0,5</w:t>
            </w:r>
          </w:p>
        </w:tc>
        <w:tc>
          <w:tcPr>
            <w:tcW w:w="2260" w:type="dxa"/>
            <w:tcBorders>
              <w:top w:val="single" w:sz="4" w:space="0" w:color="auto"/>
              <w:left w:val="single" w:sz="4" w:space="0" w:color="auto"/>
              <w:bottom w:val="single" w:sz="4" w:space="0" w:color="auto"/>
              <w:right w:val="single" w:sz="4" w:space="0" w:color="auto"/>
            </w:tcBorders>
            <w:noWrap/>
            <w:hideMark/>
          </w:tcPr>
          <w:p w14:paraId="0E5C9946"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r w:rsidR="00480E35" w:rsidRPr="003B176F" w14:paraId="3FD8BB5F"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2EA4641C"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Cladosporium sphaerospermum</w:t>
            </w:r>
          </w:p>
        </w:tc>
        <w:tc>
          <w:tcPr>
            <w:tcW w:w="2697" w:type="dxa"/>
            <w:tcBorders>
              <w:top w:val="single" w:sz="4" w:space="0" w:color="auto"/>
              <w:left w:val="single" w:sz="4" w:space="0" w:color="auto"/>
              <w:bottom w:val="single" w:sz="4" w:space="0" w:color="auto"/>
              <w:right w:val="single" w:sz="4" w:space="0" w:color="auto"/>
            </w:tcBorders>
            <w:noWrap/>
            <w:hideMark/>
          </w:tcPr>
          <w:p w14:paraId="73A1519F"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30 ± 0,5</w:t>
            </w:r>
          </w:p>
        </w:tc>
        <w:tc>
          <w:tcPr>
            <w:tcW w:w="2260" w:type="dxa"/>
            <w:tcBorders>
              <w:top w:val="single" w:sz="4" w:space="0" w:color="auto"/>
              <w:left w:val="single" w:sz="4" w:space="0" w:color="auto"/>
              <w:bottom w:val="single" w:sz="4" w:space="0" w:color="auto"/>
              <w:right w:val="single" w:sz="4" w:space="0" w:color="auto"/>
            </w:tcBorders>
            <w:noWrap/>
            <w:hideMark/>
          </w:tcPr>
          <w:p w14:paraId="0EC53D98"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r w:rsidR="00480E35" w:rsidRPr="003B176F" w14:paraId="17DB497F"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78990C77"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Paecilomyces variotii</w:t>
            </w:r>
          </w:p>
        </w:tc>
        <w:tc>
          <w:tcPr>
            <w:tcW w:w="2697" w:type="dxa"/>
            <w:tcBorders>
              <w:top w:val="single" w:sz="4" w:space="0" w:color="auto"/>
              <w:left w:val="single" w:sz="4" w:space="0" w:color="auto"/>
              <w:bottom w:val="single" w:sz="4" w:space="0" w:color="auto"/>
              <w:right w:val="single" w:sz="4" w:space="0" w:color="auto"/>
            </w:tcBorders>
            <w:noWrap/>
            <w:hideMark/>
          </w:tcPr>
          <w:p w14:paraId="22803315"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30 ± 0,5</w:t>
            </w:r>
          </w:p>
        </w:tc>
        <w:tc>
          <w:tcPr>
            <w:tcW w:w="2260" w:type="dxa"/>
            <w:tcBorders>
              <w:top w:val="single" w:sz="4" w:space="0" w:color="auto"/>
              <w:left w:val="single" w:sz="4" w:space="0" w:color="auto"/>
              <w:bottom w:val="single" w:sz="4" w:space="0" w:color="auto"/>
              <w:right w:val="single" w:sz="4" w:space="0" w:color="auto"/>
            </w:tcBorders>
            <w:noWrap/>
            <w:hideMark/>
          </w:tcPr>
          <w:p w14:paraId="2B347E3A"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r w:rsidR="00480E35" w:rsidRPr="003B176F" w14:paraId="315BD264"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529F391E"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Pe</w:t>
            </w:r>
            <w:r w:rsidRPr="003B176F">
              <w:rPr>
                <w:rFonts w:ascii="Times New Roman" w:hAnsi="Times New Roman"/>
                <w:i/>
                <w:iCs/>
                <w:lang w:val="en-US"/>
              </w:rPr>
              <w:t>n</w:t>
            </w:r>
            <w:r w:rsidRPr="003B176F">
              <w:rPr>
                <w:rFonts w:ascii="Times New Roman" w:hAnsi="Times New Roman"/>
                <w:i/>
                <w:iCs/>
              </w:rPr>
              <w:t>icillium brevicompactum</w:t>
            </w:r>
          </w:p>
        </w:tc>
        <w:tc>
          <w:tcPr>
            <w:tcW w:w="2697" w:type="dxa"/>
            <w:tcBorders>
              <w:top w:val="single" w:sz="4" w:space="0" w:color="auto"/>
              <w:left w:val="single" w:sz="4" w:space="0" w:color="auto"/>
              <w:bottom w:val="single" w:sz="4" w:space="0" w:color="auto"/>
              <w:right w:val="single" w:sz="4" w:space="0" w:color="auto"/>
            </w:tcBorders>
            <w:noWrap/>
            <w:hideMark/>
          </w:tcPr>
          <w:p w14:paraId="415F25A4"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25,6 ± 2,2</w:t>
            </w:r>
          </w:p>
        </w:tc>
        <w:tc>
          <w:tcPr>
            <w:tcW w:w="2260" w:type="dxa"/>
            <w:tcBorders>
              <w:top w:val="single" w:sz="4" w:space="0" w:color="auto"/>
              <w:left w:val="single" w:sz="4" w:space="0" w:color="auto"/>
              <w:bottom w:val="single" w:sz="4" w:space="0" w:color="auto"/>
              <w:right w:val="single" w:sz="4" w:space="0" w:color="auto"/>
            </w:tcBorders>
            <w:noWrap/>
            <w:hideMark/>
          </w:tcPr>
          <w:p w14:paraId="7A33D413"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r w:rsidR="00480E35" w:rsidRPr="003B176F" w14:paraId="675160F9"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2AA318FA"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Pe</w:t>
            </w:r>
            <w:r w:rsidRPr="003B176F">
              <w:rPr>
                <w:rFonts w:ascii="Times New Roman" w:hAnsi="Times New Roman"/>
                <w:i/>
                <w:iCs/>
                <w:lang w:val="en-US"/>
              </w:rPr>
              <w:t>n</w:t>
            </w:r>
            <w:r w:rsidRPr="003B176F">
              <w:rPr>
                <w:rFonts w:ascii="Times New Roman" w:hAnsi="Times New Roman"/>
                <w:i/>
                <w:iCs/>
              </w:rPr>
              <w:t>icillium fu</w:t>
            </w:r>
            <w:r w:rsidRPr="003B176F">
              <w:rPr>
                <w:rFonts w:ascii="Times New Roman" w:hAnsi="Times New Roman"/>
                <w:i/>
                <w:iCs/>
                <w:lang w:val="en-US"/>
              </w:rPr>
              <w:t>n</w:t>
            </w:r>
            <w:r w:rsidRPr="003B176F">
              <w:rPr>
                <w:rFonts w:ascii="Times New Roman" w:hAnsi="Times New Roman"/>
                <w:i/>
                <w:iCs/>
              </w:rPr>
              <w:t>iculosum</w:t>
            </w:r>
          </w:p>
        </w:tc>
        <w:tc>
          <w:tcPr>
            <w:tcW w:w="2697" w:type="dxa"/>
            <w:tcBorders>
              <w:top w:val="single" w:sz="4" w:space="0" w:color="auto"/>
              <w:left w:val="single" w:sz="4" w:space="0" w:color="auto"/>
              <w:bottom w:val="single" w:sz="4" w:space="0" w:color="auto"/>
              <w:right w:val="single" w:sz="4" w:space="0" w:color="auto"/>
            </w:tcBorders>
            <w:noWrap/>
            <w:hideMark/>
          </w:tcPr>
          <w:p w14:paraId="4E01EFB5"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30 ± 0,5</w:t>
            </w:r>
          </w:p>
        </w:tc>
        <w:tc>
          <w:tcPr>
            <w:tcW w:w="2260" w:type="dxa"/>
            <w:tcBorders>
              <w:top w:val="single" w:sz="4" w:space="0" w:color="auto"/>
              <w:left w:val="single" w:sz="4" w:space="0" w:color="auto"/>
              <w:bottom w:val="single" w:sz="4" w:space="0" w:color="auto"/>
              <w:right w:val="single" w:sz="4" w:space="0" w:color="auto"/>
            </w:tcBorders>
            <w:noWrap/>
            <w:hideMark/>
          </w:tcPr>
          <w:p w14:paraId="3B55D822"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r w:rsidR="00480E35" w:rsidRPr="003B176F" w14:paraId="02DE3D52" w14:textId="77777777" w:rsidTr="00417749">
        <w:trPr>
          <w:trHeight w:val="276"/>
          <w:jc w:val="center"/>
        </w:trPr>
        <w:tc>
          <w:tcPr>
            <w:tcW w:w="0" w:type="auto"/>
            <w:tcBorders>
              <w:top w:val="single" w:sz="4" w:space="0" w:color="auto"/>
              <w:left w:val="single" w:sz="4" w:space="0" w:color="auto"/>
              <w:bottom w:val="single" w:sz="4" w:space="0" w:color="auto"/>
              <w:right w:val="single" w:sz="4" w:space="0" w:color="auto"/>
            </w:tcBorders>
            <w:noWrap/>
            <w:hideMark/>
          </w:tcPr>
          <w:p w14:paraId="38021B61" w14:textId="77777777" w:rsidR="00480E35" w:rsidRPr="003B176F" w:rsidRDefault="00480E35" w:rsidP="009B701C">
            <w:pPr>
              <w:spacing w:line="360" w:lineRule="auto"/>
              <w:jc w:val="center"/>
              <w:rPr>
                <w:rFonts w:ascii="Times New Roman" w:hAnsi="Times New Roman"/>
                <w:i/>
                <w:iCs/>
              </w:rPr>
            </w:pPr>
            <w:r w:rsidRPr="003B176F">
              <w:rPr>
                <w:rFonts w:ascii="Times New Roman" w:hAnsi="Times New Roman"/>
                <w:i/>
                <w:iCs/>
              </w:rPr>
              <w:t>Trichoderma viride</w:t>
            </w:r>
          </w:p>
        </w:tc>
        <w:tc>
          <w:tcPr>
            <w:tcW w:w="2697" w:type="dxa"/>
            <w:tcBorders>
              <w:top w:val="single" w:sz="4" w:space="0" w:color="auto"/>
              <w:left w:val="single" w:sz="4" w:space="0" w:color="auto"/>
              <w:bottom w:val="single" w:sz="4" w:space="0" w:color="auto"/>
              <w:right w:val="single" w:sz="4" w:space="0" w:color="auto"/>
            </w:tcBorders>
            <w:noWrap/>
            <w:hideMark/>
          </w:tcPr>
          <w:p w14:paraId="43E139CC"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30 ± 0,5</w:t>
            </w:r>
          </w:p>
        </w:tc>
        <w:tc>
          <w:tcPr>
            <w:tcW w:w="2260" w:type="dxa"/>
            <w:tcBorders>
              <w:top w:val="single" w:sz="4" w:space="0" w:color="auto"/>
              <w:left w:val="single" w:sz="4" w:space="0" w:color="auto"/>
              <w:bottom w:val="single" w:sz="4" w:space="0" w:color="auto"/>
              <w:right w:val="single" w:sz="4" w:space="0" w:color="auto"/>
            </w:tcBorders>
            <w:noWrap/>
            <w:hideMark/>
          </w:tcPr>
          <w:p w14:paraId="32730D9E" w14:textId="77777777" w:rsidR="00480E35" w:rsidRPr="003B176F" w:rsidRDefault="00480E35" w:rsidP="009B701C">
            <w:pPr>
              <w:spacing w:line="360" w:lineRule="auto"/>
              <w:jc w:val="center"/>
              <w:rPr>
                <w:rFonts w:ascii="Times New Roman" w:hAnsi="Times New Roman"/>
              </w:rPr>
            </w:pPr>
            <w:r w:rsidRPr="003B176F">
              <w:rPr>
                <w:rFonts w:ascii="Times New Roman" w:hAnsi="Times New Roman"/>
              </w:rPr>
              <w:t>фунгіцидна</w:t>
            </w:r>
          </w:p>
        </w:tc>
      </w:tr>
    </w:tbl>
    <w:p w14:paraId="22E31AE1" w14:textId="77777777" w:rsidR="00480E35" w:rsidRPr="003B176F" w:rsidRDefault="00480E35" w:rsidP="009B701C">
      <w:pPr>
        <w:spacing w:after="0" w:line="360" w:lineRule="auto"/>
        <w:jc w:val="both"/>
        <w:rPr>
          <w:rFonts w:ascii="Times New Roman" w:eastAsia="Aptos" w:hAnsi="Times New Roman" w:cs="Times New Roman"/>
          <w:sz w:val="28"/>
          <w:szCs w:val="28"/>
        </w:rPr>
      </w:pPr>
    </w:p>
    <w:p w14:paraId="7D8AE408" w14:textId="77777777" w:rsidR="00A940D8" w:rsidRPr="003B176F" w:rsidRDefault="00A940D8" w:rsidP="009B701C">
      <w:pPr>
        <w:spacing w:after="0" w:line="360" w:lineRule="auto"/>
        <w:ind w:firstLine="567"/>
        <w:jc w:val="both"/>
        <w:rPr>
          <w:rFonts w:ascii="Times New Roman" w:eastAsia="Aptos" w:hAnsi="Times New Roman" w:cs="Times New Roman"/>
          <w:sz w:val="28"/>
          <w:szCs w:val="28"/>
        </w:rPr>
      </w:pPr>
      <w:r w:rsidRPr="003B176F">
        <w:rPr>
          <w:rFonts w:ascii="Times New Roman" w:eastAsia="Aptos" w:hAnsi="Times New Roman" w:cs="Times New Roman"/>
          <w:sz w:val="28"/>
          <w:szCs w:val="28"/>
        </w:rPr>
        <w:t xml:space="preserve">Для </w:t>
      </w:r>
      <w:r w:rsidRPr="003B176F">
        <w:rPr>
          <w:rFonts w:ascii="Times New Roman" w:eastAsia="Aptos" w:hAnsi="Times New Roman" w:cs="Times New Roman"/>
          <w:i/>
          <w:iCs/>
          <w:sz w:val="28"/>
          <w:szCs w:val="28"/>
        </w:rPr>
        <w:t>Alternaria alternata</w:t>
      </w:r>
      <w:r w:rsidRPr="003B176F">
        <w:rPr>
          <w:rFonts w:ascii="Times New Roman" w:eastAsia="Aptos" w:hAnsi="Times New Roman" w:cs="Times New Roman"/>
          <w:sz w:val="28"/>
          <w:szCs w:val="28"/>
        </w:rPr>
        <w:t xml:space="preserve">, </w:t>
      </w:r>
      <w:r w:rsidRPr="003B176F">
        <w:rPr>
          <w:rFonts w:ascii="Times New Roman" w:eastAsia="Aptos" w:hAnsi="Times New Roman" w:cs="Times New Roman"/>
          <w:i/>
          <w:iCs/>
          <w:sz w:val="28"/>
          <w:szCs w:val="28"/>
        </w:rPr>
        <w:t>Acremonium strictum</w:t>
      </w:r>
      <w:r w:rsidRPr="003B176F">
        <w:rPr>
          <w:rFonts w:ascii="Times New Roman" w:eastAsia="Aptos" w:hAnsi="Times New Roman" w:cs="Times New Roman"/>
          <w:sz w:val="28"/>
          <w:szCs w:val="28"/>
        </w:rPr>
        <w:t xml:space="preserve">, </w:t>
      </w:r>
      <w:r w:rsidRPr="003B176F">
        <w:rPr>
          <w:rFonts w:ascii="Times New Roman" w:eastAsia="Aptos" w:hAnsi="Times New Roman" w:cs="Times New Roman"/>
          <w:i/>
          <w:iCs/>
          <w:sz w:val="28"/>
          <w:szCs w:val="28"/>
        </w:rPr>
        <w:t>Aspergillus terreus</w:t>
      </w:r>
      <w:r w:rsidRPr="003B176F">
        <w:rPr>
          <w:rFonts w:ascii="Times New Roman" w:eastAsia="Aptos" w:hAnsi="Times New Roman" w:cs="Times New Roman"/>
          <w:sz w:val="28"/>
          <w:szCs w:val="28"/>
        </w:rPr>
        <w:t xml:space="preserve">, </w:t>
      </w:r>
      <w:r w:rsidRPr="003B176F">
        <w:rPr>
          <w:rFonts w:ascii="Times New Roman" w:eastAsia="Aptos" w:hAnsi="Times New Roman" w:cs="Times New Roman"/>
          <w:i/>
          <w:iCs/>
          <w:sz w:val="28"/>
          <w:szCs w:val="28"/>
        </w:rPr>
        <w:t>Aspergillus versicolor</w:t>
      </w:r>
      <w:r w:rsidRPr="003B176F">
        <w:rPr>
          <w:rFonts w:ascii="Times New Roman" w:eastAsia="Aptos" w:hAnsi="Times New Roman" w:cs="Times New Roman"/>
          <w:sz w:val="28"/>
          <w:szCs w:val="28"/>
        </w:rPr>
        <w:t xml:space="preserve">, </w:t>
      </w:r>
      <w:r w:rsidRPr="003B176F">
        <w:rPr>
          <w:rFonts w:ascii="Times New Roman" w:eastAsia="Aptos" w:hAnsi="Times New Roman" w:cs="Times New Roman"/>
          <w:i/>
          <w:iCs/>
          <w:sz w:val="28"/>
          <w:szCs w:val="28"/>
        </w:rPr>
        <w:t>Cladosporium sphaerospermum</w:t>
      </w:r>
      <w:r w:rsidRPr="003B176F">
        <w:rPr>
          <w:rFonts w:ascii="Times New Roman" w:eastAsia="Aptos" w:hAnsi="Times New Roman" w:cs="Times New Roman"/>
          <w:sz w:val="28"/>
          <w:szCs w:val="28"/>
        </w:rPr>
        <w:t xml:space="preserve">, </w:t>
      </w:r>
      <w:r w:rsidRPr="003B176F">
        <w:rPr>
          <w:rFonts w:ascii="Times New Roman" w:eastAsia="Aptos" w:hAnsi="Times New Roman" w:cs="Times New Roman"/>
          <w:i/>
          <w:iCs/>
          <w:sz w:val="28"/>
          <w:szCs w:val="28"/>
        </w:rPr>
        <w:t>Paecilomyces variotii</w:t>
      </w:r>
      <w:r w:rsidRPr="003B176F">
        <w:rPr>
          <w:rFonts w:ascii="Times New Roman" w:eastAsia="Aptos" w:hAnsi="Times New Roman" w:cs="Times New Roman"/>
          <w:sz w:val="28"/>
          <w:szCs w:val="28"/>
        </w:rPr>
        <w:t xml:space="preserve">, </w:t>
      </w:r>
      <w:r w:rsidRPr="003B176F">
        <w:rPr>
          <w:rFonts w:ascii="Times New Roman" w:eastAsia="Aptos" w:hAnsi="Times New Roman" w:cs="Times New Roman"/>
          <w:i/>
          <w:iCs/>
          <w:sz w:val="28"/>
          <w:szCs w:val="28"/>
        </w:rPr>
        <w:t>Penicillium funiculosum</w:t>
      </w:r>
      <w:r w:rsidRPr="003B176F">
        <w:rPr>
          <w:rFonts w:ascii="Times New Roman" w:eastAsia="Aptos" w:hAnsi="Times New Roman" w:cs="Times New Roman"/>
          <w:sz w:val="28"/>
          <w:szCs w:val="28"/>
        </w:rPr>
        <w:t xml:space="preserve"> та </w:t>
      </w:r>
      <w:r w:rsidRPr="003B176F">
        <w:rPr>
          <w:rFonts w:ascii="Times New Roman" w:eastAsia="Aptos" w:hAnsi="Times New Roman" w:cs="Times New Roman"/>
          <w:i/>
          <w:iCs/>
          <w:sz w:val="28"/>
          <w:szCs w:val="28"/>
        </w:rPr>
        <w:t>Trichoderma viride</w:t>
      </w:r>
      <w:r w:rsidRPr="003B176F">
        <w:rPr>
          <w:rFonts w:ascii="Times New Roman" w:eastAsia="Aptos" w:hAnsi="Times New Roman" w:cs="Times New Roman"/>
          <w:sz w:val="28"/>
          <w:szCs w:val="28"/>
        </w:rPr>
        <w:t xml:space="preserve"> діаметр зон затримки росту становив 30 ± 0,5 мм, тоді як для </w:t>
      </w:r>
      <w:r w:rsidRPr="003B176F">
        <w:rPr>
          <w:rFonts w:ascii="Times New Roman" w:eastAsia="Aptos" w:hAnsi="Times New Roman" w:cs="Times New Roman"/>
          <w:i/>
          <w:iCs/>
          <w:sz w:val="28"/>
          <w:szCs w:val="28"/>
        </w:rPr>
        <w:t>Penicillium brevicompactum</w:t>
      </w:r>
      <w:r w:rsidRPr="003B176F">
        <w:rPr>
          <w:rFonts w:ascii="Times New Roman" w:eastAsia="Aptos" w:hAnsi="Times New Roman" w:cs="Times New Roman"/>
          <w:sz w:val="28"/>
          <w:szCs w:val="28"/>
        </w:rPr>
        <w:t xml:space="preserve"> — 25,6 ± 2,2 мм. Найменшу чутливість до препарату виявлено у </w:t>
      </w:r>
      <w:r w:rsidRPr="003B176F">
        <w:rPr>
          <w:rFonts w:ascii="Times New Roman" w:eastAsia="Aptos" w:hAnsi="Times New Roman" w:cs="Times New Roman"/>
          <w:i/>
          <w:iCs/>
          <w:sz w:val="28"/>
          <w:szCs w:val="28"/>
        </w:rPr>
        <w:t>Aspergillus niger</w:t>
      </w:r>
      <w:r w:rsidRPr="003B176F">
        <w:rPr>
          <w:rFonts w:ascii="Times New Roman" w:eastAsia="Aptos" w:hAnsi="Times New Roman" w:cs="Times New Roman"/>
          <w:sz w:val="28"/>
          <w:szCs w:val="28"/>
        </w:rPr>
        <w:t xml:space="preserve">, щодо якого </w:t>
      </w:r>
      <w:r w:rsidR="00CF7D8B" w:rsidRPr="003B176F">
        <w:rPr>
          <w:rFonts w:ascii="Times New Roman" w:eastAsia="Aptos" w:hAnsi="Times New Roman" w:cs="Times New Roman"/>
          <w:sz w:val="28"/>
          <w:szCs w:val="28"/>
        </w:rPr>
        <w:t>«</w:t>
      </w:r>
      <w:proofErr w:type="spellStart"/>
      <w:r w:rsidRPr="003B176F">
        <w:rPr>
          <w:rFonts w:ascii="Times New Roman" w:eastAsia="Aptos" w:hAnsi="Times New Roman" w:cs="Times New Roman"/>
          <w:sz w:val="28"/>
          <w:szCs w:val="28"/>
        </w:rPr>
        <w:t>Акватон</w:t>
      </w:r>
      <w:proofErr w:type="spellEnd"/>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 xml:space="preserve"> проявив лише </w:t>
      </w:r>
      <w:proofErr w:type="spellStart"/>
      <w:r w:rsidRPr="003B176F">
        <w:rPr>
          <w:rFonts w:ascii="Times New Roman" w:eastAsia="Aptos" w:hAnsi="Times New Roman" w:cs="Times New Roman"/>
          <w:sz w:val="28"/>
          <w:szCs w:val="28"/>
        </w:rPr>
        <w:t>фунгістатичну</w:t>
      </w:r>
      <w:proofErr w:type="spellEnd"/>
      <w:r w:rsidRPr="003B176F">
        <w:rPr>
          <w:rFonts w:ascii="Times New Roman" w:eastAsia="Aptos" w:hAnsi="Times New Roman" w:cs="Times New Roman"/>
          <w:sz w:val="28"/>
          <w:szCs w:val="28"/>
        </w:rPr>
        <w:t xml:space="preserve"> дію (15 ± 1,3 мм).</w:t>
      </w:r>
    </w:p>
    <w:p w14:paraId="545B03E3" w14:textId="77777777" w:rsidR="00480E35" w:rsidRPr="003B176F" w:rsidRDefault="00A940D8" w:rsidP="009B701C">
      <w:pPr>
        <w:spacing w:after="0" w:line="360" w:lineRule="auto"/>
        <w:ind w:firstLine="567"/>
        <w:jc w:val="both"/>
        <w:rPr>
          <w:rFonts w:ascii="Times New Roman" w:eastAsia="Aptos" w:hAnsi="Times New Roman" w:cs="Times New Roman"/>
          <w:sz w:val="28"/>
          <w:szCs w:val="28"/>
        </w:rPr>
      </w:pPr>
      <w:r w:rsidRPr="003B176F">
        <w:rPr>
          <w:rFonts w:ascii="Times New Roman" w:eastAsia="Aptos" w:hAnsi="Times New Roman" w:cs="Times New Roman"/>
          <w:sz w:val="28"/>
          <w:szCs w:val="28"/>
        </w:rPr>
        <w:t xml:space="preserve">У контрольних зразках </w:t>
      </w:r>
      <w:r w:rsidR="00480E35" w:rsidRPr="003B176F">
        <w:rPr>
          <w:rFonts w:ascii="Times New Roman" w:eastAsia="Aptos" w:hAnsi="Times New Roman" w:cs="Times New Roman"/>
          <w:sz w:val="28"/>
          <w:szCs w:val="28"/>
        </w:rPr>
        <w:t xml:space="preserve">(табл. 2) </w:t>
      </w:r>
      <w:r w:rsidRPr="003B176F">
        <w:rPr>
          <w:rFonts w:ascii="Times New Roman" w:eastAsia="Aptos" w:hAnsi="Times New Roman" w:cs="Times New Roman"/>
          <w:sz w:val="28"/>
          <w:szCs w:val="28"/>
        </w:rPr>
        <w:t xml:space="preserve">усі типи паперу були інтенсивно уражені мікроміцетами (5 балів). Під час випробувань на поверхні паперу переважно розвивалися темнозабарвлені гриби </w:t>
      </w:r>
      <w:r w:rsidRPr="003B176F">
        <w:rPr>
          <w:rFonts w:ascii="Times New Roman" w:eastAsia="Aptos" w:hAnsi="Times New Roman" w:cs="Times New Roman"/>
          <w:i/>
          <w:iCs/>
          <w:sz w:val="28"/>
          <w:szCs w:val="28"/>
        </w:rPr>
        <w:t>Alternaria alternata</w:t>
      </w:r>
      <w:r w:rsidRPr="003B176F">
        <w:rPr>
          <w:rFonts w:ascii="Times New Roman" w:eastAsia="Aptos" w:hAnsi="Times New Roman" w:cs="Times New Roman"/>
          <w:sz w:val="28"/>
          <w:szCs w:val="28"/>
        </w:rPr>
        <w:t xml:space="preserve"> та </w:t>
      </w:r>
      <w:r w:rsidRPr="003B176F">
        <w:rPr>
          <w:rFonts w:ascii="Times New Roman" w:eastAsia="Aptos" w:hAnsi="Times New Roman" w:cs="Times New Roman"/>
          <w:i/>
          <w:iCs/>
          <w:sz w:val="28"/>
          <w:szCs w:val="28"/>
        </w:rPr>
        <w:t>Cladosporium sphaerospermum</w:t>
      </w:r>
      <w:r w:rsidRPr="003B176F">
        <w:rPr>
          <w:rFonts w:ascii="Times New Roman" w:eastAsia="Aptos" w:hAnsi="Times New Roman" w:cs="Times New Roman"/>
          <w:sz w:val="28"/>
          <w:szCs w:val="28"/>
        </w:rPr>
        <w:t xml:space="preserve">, а також представники роду </w:t>
      </w:r>
      <w:r w:rsidRPr="003B176F">
        <w:rPr>
          <w:rFonts w:ascii="Times New Roman" w:eastAsia="Aptos" w:hAnsi="Times New Roman" w:cs="Times New Roman"/>
          <w:i/>
          <w:iCs/>
          <w:sz w:val="28"/>
          <w:szCs w:val="28"/>
        </w:rPr>
        <w:t>Penicillium</w:t>
      </w:r>
      <w:r w:rsidRPr="003B176F">
        <w:rPr>
          <w:rFonts w:ascii="Times New Roman" w:eastAsia="Aptos" w:hAnsi="Times New Roman" w:cs="Times New Roman"/>
          <w:sz w:val="28"/>
          <w:szCs w:val="28"/>
        </w:rPr>
        <w:t xml:space="preserve">, які є типовими агентами біопошкодження целюлозовмісних матеріалів. </w:t>
      </w:r>
    </w:p>
    <w:p w14:paraId="42B0F468" w14:textId="77777777" w:rsidR="000A0862" w:rsidRPr="003B176F" w:rsidRDefault="000A0862" w:rsidP="009B701C">
      <w:pPr>
        <w:spacing w:after="0" w:line="360" w:lineRule="auto"/>
        <w:ind w:firstLine="567"/>
        <w:jc w:val="both"/>
        <w:rPr>
          <w:rFonts w:ascii="Times New Roman" w:eastAsia="Aptos" w:hAnsi="Times New Roman" w:cs="Times New Roman"/>
          <w:sz w:val="28"/>
          <w:szCs w:val="28"/>
        </w:rPr>
      </w:pPr>
    </w:p>
    <w:p w14:paraId="199D0490" w14:textId="77777777" w:rsidR="000A0862" w:rsidRPr="003B176F" w:rsidRDefault="000A0862" w:rsidP="00B67AE7">
      <w:pPr>
        <w:spacing w:after="0" w:line="360" w:lineRule="auto"/>
        <w:ind w:firstLine="567"/>
        <w:jc w:val="right"/>
        <w:rPr>
          <w:rFonts w:ascii="Times New Roman" w:eastAsia="Aptos" w:hAnsi="Times New Roman" w:cs="Times New Roman"/>
          <w:bCs/>
          <w:sz w:val="28"/>
          <w:szCs w:val="28"/>
        </w:rPr>
      </w:pPr>
    </w:p>
    <w:p w14:paraId="37C4C66E" w14:textId="77777777" w:rsidR="00B67AE7" w:rsidRPr="003B176F" w:rsidRDefault="00B67AE7" w:rsidP="00B67AE7">
      <w:pPr>
        <w:spacing w:after="0" w:line="360" w:lineRule="auto"/>
        <w:ind w:firstLine="567"/>
        <w:jc w:val="right"/>
        <w:rPr>
          <w:rFonts w:ascii="Times New Roman" w:eastAsia="Aptos" w:hAnsi="Times New Roman" w:cs="Times New Roman"/>
          <w:sz w:val="28"/>
          <w:szCs w:val="28"/>
          <w:lang w:val="ru-RU"/>
        </w:rPr>
      </w:pPr>
      <w:r w:rsidRPr="003B176F">
        <w:rPr>
          <w:rFonts w:ascii="Times New Roman" w:eastAsia="Aptos" w:hAnsi="Times New Roman" w:cs="Times New Roman"/>
          <w:bCs/>
          <w:sz w:val="28"/>
          <w:szCs w:val="28"/>
        </w:rPr>
        <w:t>Таблиця 2</w:t>
      </w:r>
      <w:r w:rsidRPr="003B176F">
        <w:rPr>
          <w:rFonts w:ascii="Times New Roman" w:eastAsia="Aptos" w:hAnsi="Times New Roman" w:cs="Times New Roman"/>
          <w:sz w:val="28"/>
          <w:szCs w:val="28"/>
          <w:lang w:val="ru-RU"/>
        </w:rPr>
        <w:t xml:space="preserve"> </w:t>
      </w:r>
    </w:p>
    <w:p w14:paraId="12FD33B2" w14:textId="77777777" w:rsidR="00480E35" w:rsidRPr="003B176F" w:rsidRDefault="00480E35" w:rsidP="009B701C">
      <w:pPr>
        <w:spacing w:after="0" w:line="360" w:lineRule="auto"/>
        <w:jc w:val="center"/>
        <w:rPr>
          <w:rFonts w:ascii="Times New Roman" w:eastAsia="Aptos" w:hAnsi="Times New Roman" w:cs="Times New Roman"/>
          <w:bCs/>
          <w:sz w:val="28"/>
          <w:szCs w:val="28"/>
        </w:rPr>
      </w:pPr>
      <w:r w:rsidRPr="003B176F">
        <w:rPr>
          <w:rFonts w:ascii="Times New Roman" w:eastAsia="Aptos" w:hAnsi="Times New Roman" w:cs="Times New Roman"/>
          <w:bCs/>
          <w:sz w:val="28"/>
          <w:szCs w:val="28"/>
        </w:rPr>
        <w:t xml:space="preserve">Грибостійкість паперу при обробці </w:t>
      </w:r>
      <w:r w:rsidR="000A0862" w:rsidRPr="003B176F">
        <w:rPr>
          <w:rFonts w:ascii="Times New Roman" w:eastAsia="Aptos" w:hAnsi="Times New Roman" w:cs="Times New Roman"/>
          <w:bCs/>
          <w:sz w:val="28"/>
          <w:szCs w:val="28"/>
        </w:rPr>
        <w:t xml:space="preserve">препаратом </w:t>
      </w:r>
      <w:r w:rsidR="00CF7D8B" w:rsidRPr="003B176F">
        <w:rPr>
          <w:rFonts w:ascii="Times New Roman" w:eastAsia="Aptos" w:hAnsi="Times New Roman" w:cs="Times New Roman"/>
          <w:bCs/>
          <w:sz w:val="28"/>
          <w:szCs w:val="28"/>
        </w:rPr>
        <w:t>«</w:t>
      </w:r>
      <w:r w:rsidRPr="003B176F">
        <w:rPr>
          <w:rFonts w:ascii="Times New Roman" w:eastAsia="Aptos" w:hAnsi="Times New Roman" w:cs="Times New Roman"/>
          <w:bCs/>
          <w:sz w:val="28"/>
          <w:szCs w:val="28"/>
        </w:rPr>
        <w:t>Акватон</w:t>
      </w:r>
      <w:r w:rsidR="00CF7D8B" w:rsidRPr="003B176F">
        <w:rPr>
          <w:rFonts w:ascii="Times New Roman" w:eastAsia="Aptos" w:hAnsi="Times New Roman" w:cs="Times New Roman"/>
          <w:bCs/>
          <w:sz w:val="28"/>
          <w:szCs w:val="28"/>
        </w:rPr>
        <w:t>»</w:t>
      </w:r>
    </w:p>
    <w:tbl>
      <w:tblPr>
        <w:tblW w:w="93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8"/>
        <w:gridCol w:w="3111"/>
        <w:gridCol w:w="3089"/>
        <w:gridCol w:w="22"/>
      </w:tblGrid>
      <w:tr w:rsidR="00480E35" w:rsidRPr="003B176F" w14:paraId="4AF75B02" w14:textId="77777777" w:rsidTr="00480E35">
        <w:trPr>
          <w:gridAfter w:val="1"/>
          <w:wAfter w:w="22" w:type="dxa"/>
          <w:trHeight w:val="301"/>
          <w:jc w:val="center"/>
        </w:trPr>
        <w:tc>
          <w:tcPr>
            <w:tcW w:w="3111" w:type="dxa"/>
            <w:vMerge w:val="restart"/>
            <w:tcBorders>
              <w:top w:val="single" w:sz="4" w:space="0" w:color="000000"/>
              <w:left w:val="single" w:sz="4" w:space="0" w:color="000000"/>
              <w:bottom w:val="single" w:sz="4" w:space="0" w:color="000000"/>
              <w:right w:val="single" w:sz="4" w:space="0" w:color="000000"/>
            </w:tcBorders>
            <w:vAlign w:val="center"/>
            <w:hideMark/>
          </w:tcPr>
          <w:p w14:paraId="16B4DCF4"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Тип паперу</w:t>
            </w:r>
          </w:p>
        </w:tc>
        <w:tc>
          <w:tcPr>
            <w:tcW w:w="6204" w:type="dxa"/>
            <w:gridSpan w:val="2"/>
            <w:tcBorders>
              <w:top w:val="single" w:sz="4" w:space="0" w:color="000000"/>
              <w:left w:val="single" w:sz="4" w:space="0" w:color="000000"/>
              <w:bottom w:val="single" w:sz="4" w:space="0" w:color="auto"/>
              <w:right w:val="single" w:sz="4" w:space="0" w:color="auto"/>
            </w:tcBorders>
            <w:vAlign w:val="center"/>
            <w:hideMark/>
          </w:tcPr>
          <w:p w14:paraId="338D3357"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Бал грибостійкості</w:t>
            </w:r>
          </w:p>
        </w:tc>
      </w:tr>
      <w:tr w:rsidR="00480E35" w:rsidRPr="003B176F" w14:paraId="41F8C5C1" w14:textId="77777777" w:rsidTr="00480E35">
        <w:trPr>
          <w:trHeight w:val="671"/>
          <w:jc w:val="center"/>
        </w:trPr>
        <w:tc>
          <w:tcPr>
            <w:tcW w:w="3111" w:type="dxa"/>
            <w:vMerge/>
            <w:tcBorders>
              <w:top w:val="single" w:sz="4" w:space="0" w:color="000000"/>
              <w:left w:val="single" w:sz="4" w:space="0" w:color="000000"/>
              <w:bottom w:val="single" w:sz="4" w:space="0" w:color="000000"/>
              <w:right w:val="single" w:sz="4" w:space="0" w:color="000000"/>
            </w:tcBorders>
            <w:vAlign w:val="center"/>
            <w:hideMark/>
          </w:tcPr>
          <w:p w14:paraId="0E6B43BB" w14:textId="77777777" w:rsidR="00480E35" w:rsidRPr="003B176F" w:rsidRDefault="00480E35" w:rsidP="009B701C">
            <w:pPr>
              <w:spacing w:after="0" w:line="360" w:lineRule="auto"/>
              <w:jc w:val="center"/>
              <w:rPr>
                <w:rFonts w:ascii="Times New Roman" w:eastAsia="Aptos" w:hAnsi="Times New Roman" w:cs="Times New Roman"/>
                <w:sz w:val="24"/>
                <w:szCs w:val="24"/>
              </w:rPr>
            </w:pPr>
          </w:p>
        </w:tc>
        <w:tc>
          <w:tcPr>
            <w:tcW w:w="3113" w:type="dxa"/>
            <w:tcBorders>
              <w:top w:val="single" w:sz="4" w:space="0" w:color="auto"/>
              <w:left w:val="single" w:sz="4" w:space="0" w:color="000000"/>
              <w:bottom w:val="single" w:sz="4" w:space="0" w:color="000000"/>
              <w:right w:val="single" w:sz="4" w:space="0" w:color="000000"/>
            </w:tcBorders>
            <w:vAlign w:val="center"/>
          </w:tcPr>
          <w:p w14:paraId="441214E8" w14:textId="77777777" w:rsidR="00480E35" w:rsidRPr="003B176F" w:rsidRDefault="00480E35" w:rsidP="009B701C">
            <w:pPr>
              <w:spacing w:after="0" w:line="360" w:lineRule="auto"/>
              <w:jc w:val="center"/>
              <w:rPr>
                <w:rFonts w:ascii="Times New Roman" w:eastAsia="Aptos" w:hAnsi="Times New Roman" w:cs="Times New Roman"/>
                <w:sz w:val="24"/>
                <w:szCs w:val="24"/>
                <w:lang w:val="ru-RU"/>
              </w:rPr>
            </w:pPr>
            <w:r w:rsidRPr="003B176F">
              <w:rPr>
                <w:rFonts w:ascii="Times New Roman" w:eastAsia="Aptos" w:hAnsi="Times New Roman" w:cs="Times New Roman"/>
                <w:sz w:val="24"/>
                <w:szCs w:val="24"/>
                <w:lang w:val="ru-RU"/>
              </w:rPr>
              <w:t>Без обробки препаратом (контроль)</w:t>
            </w:r>
          </w:p>
        </w:tc>
        <w:tc>
          <w:tcPr>
            <w:tcW w:w="3113" w:type="dxa"/>
            <w:gridSpan w:val="2"/>
            <w:tcBorders>
              <w:top w:val="single" w:sz="4" w:space="0" w:color="auto"/>
              <w:left w:val="single" w:sz="4" w:space="0" w:color="000000"/>
              <w:bottom w:val="single" w:sz="4" w:space="0" w:color="000000"/>
              <w:right w:val="single" w:sz="4" w:space="0" w:color="auto"/>
            </w:tcBorders>
            <w:vAlign w:val="center"/>
          </w:tcPr>
          <w:p w14:paraId="04B8D610" w14:textId="77777777" w:rsidR="00480E35" w:rsidRPr="003B176F" w:rsidRDefault="00480E35" w:rsidP="009B701C">
            <w:pPr>
              <w:spacing w:after="0" w:line="360" w:lineRule="auto"/>
              <w:jc w:val="center"/>
              <w:rPr>
                <w:rFonts w:ascii="Times New Roman" w:eastAsia="Aptos" w:hAnsi="Times New Roman" w:cs="Times New Roman"/>
                <w:sz w:val="24"/>
                <w:szCs w:val="24"/>
                <w:lang w:val="ru-RU"/>
              </w:rPr>
            </w:pPr>
            <w:r w:rsidRPr="003B176F">
              <w:rPr>
                <w:rFonts w:ascii="Times New Roman" w:eastAsia="Aptos" w:hAnsi="Times New Roman" w:cs="Times New Roman"/>
                <w:sz w:val="24"/>
                <w:szCs w:val="24"/>
                <w:lang w:val="ru-RU"/>
              </w:rPr>
              <w:t>З обробкою</w:t>
            </w:r>
          </w:p>
        </w:tc>
      </w:tr>
      <w:tr w:rsidR="00480E35" w:rsidRPr="003B176F" w14:paraId="0A58DBA4" w14:textId="77777777" w:rsidTr="00480E35">
        <w:trPr>
          <w:trHeight w:val="423"/>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7FC761D0" w14:textId="77777777" w:rsidR="00480E35" w:rsidRPr="003B176F" w:rsidRDefault="00480E35" w:rsidP="009B701C">
            <w:pPr>
              <w:spacing w:after="0" w:line="360" w:lineRule="auto"/>
              <w:jc w:val="center"/>
              <w:rPr>
                <w:rFonts w:ascii="Times New Roman" w:eastAsia="Aptos" w:hAnsi="Times New Roman" w:cs="Times New Roman"/>
                <w:sz w:val="24"/>
                <w:szCs w:val="24"/>
                <w:lang w:val="ru-RU"/>
              </w:rPr>
            </w:pPr>
            <w:r w:rsidRPr="003B176F">
              <w:rPr>
                <w:rFonts w:ascii="Times New Roman" w:eastAsia="Aptos" w:hAnsi="Times New Roman" w:cs="Times New Roman"/>
                <w:sz w:val="24"/>
                <w:szCs w:val="24"/>
                <w:lang w:val="ru-RU"/>
              </w:rPr>
              <w:t>Ганчір’яний</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1F006D90"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5</w:t>
            </w:r>
          </w:p>
        </w:tc>
        <w:tc>
          <w:tcPr>
            <w:tcW w:w="3113" w:type="dxa"/>
            <w:gridSpan w:val="2"/>
            <w:tcBorders>
              <w:top w:val="single" w:sz="4" w:space="0" w:color="000000"/>
              <w:left w:val="single" w:sz="4" w:space="0" w:color="000000"/>
              <w:bottom w:val="single" w:sz="4" w:space="0" w:color="000000"/>
              <w:right w:val="single" w:sz="4" w:space="0" w:color="000000"/>
            </w:tcBorders>
            <w:vAlign w:val="center"/>
            <w:hideMark/>
          </w:tcPr>
          <w:p w14:paraId="6E77F0AC"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2</w:t>
            </w:r>
          </w:p>
        </w:tc>
      </w:tr>
      <w:tr w:rsidR="00480E35" w:rsidRPr="003B176F" w14:paraId="39FF7096" w14:textId="77777777" w:rsidTr="00480E35">
        <w:trPr>
          <w:trHeight w:val="417"/>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0DEEDE73" w14:textId="77777777" w:rsidR="00480E35" w:rsidRPr="003B176F" w:rsidRDefault="00480E35" w:rsidP="009B701C">
            <w:pPr>
              <w:spacing w:after="0" w:line="360" w:lineRule="auto"/>
              <w:jc w:val="center"/>
              <w:rPr>
                <w:rFonts w:ascii="Times New Roman" w:eastAsia="Aptos" w:hAnsi="Times New Roman" w:cs="Times New Roman"/>
                <w:sz w:val="24"/>
                <w:szCs w:val="24"/>
                <w:lang w:val="ru-RU"/>
              </w:rPr>
            </w:pPr>
            <w:r w:rsidRPr="003B176F">
              <w:rPr>
                <w:rFonts w:ascii="Times New Roman" w:eastAsia="Aptos" w:hAnsi="Times New Roman" w:cs="Times New Roman"/>
                <w:sz w:val="24"/>
                <w:szCs w:val="24"/>
                <w:lang w:val="ru-RU"/>
              </w:rPr>
              <w:t>Газетний</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1FD89A47"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5</w:t>
            </w:r>
          </w:p>
        </w:tc>
        <w:tc>
          <w:tcPr>
            <w:tcW w:w="3113" w:type="dxa"/>
            <w:gridSpan w:val="2"/>
            <w:tcBorders>
              <w:top w:val="single" w:sz="4" w:space="0" w:color="000000"/>
              <w:left w:val="single" w:sz="4" w:space="0" w:color="000000"/>
              <w:bottom w:val="single" w:sz="4" w:space="0" w:color="000000"/>
              <w:right w:val="single" w:sz="4" w:space="0" w:color="000000"/>
            </w:tcBorders>
            <w:vAlign w:val="center"/>
            <w:hideMark/>
          </w:tcPr>
          <w:p w14:paraId="53A3479F"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4</w:t>
            </w:r>
          </w:p>
        </w:tc>
      </w:tr>
      <w:tr w:rsidR="00480E35" w:rsidRPr="003B176F" w14:paraId="4E71B5F1" w14:textId="77777777" w:rsidTr="00480E35">
        <w:trPr>
          <w:trHeight w:val="412"/>
          <w:jc w:val="center"/>
        </w:trPr>
        <w:tc>
          <w:tcPr>
            <w:tcW w:w="3111" w:type="dxa"/>
            <w:tcBorders>
              <w:top w:val="single" w:sz="4" w:space="0" w:color="000000"/>
              <w:left w:val="single" w:sz="4" w:space="0" w:color="000000"/>
              <w:bottom w:val="single" w:sz="4" w:space="0" w:color="000000"/>
              <w:right w:val="single" w:sz="4" w:space="0" w:color="000000"/>
            </w:tcBorders>
            <w:vAlign w:val="center"/>
          </w:tcPr>
          <w:p w14:paraId="178EEB75" w14:textId="77777777" w:rsidR="00480E35" w:rsidRPr="003B176F" w:rsidRDefault="00480E35" w:rsidP="009B701C">
            <w:pPr>
              <w:spacing w:after="0" w:line="360" w:lineRule="auto"/>
              <w:jc w:val="center"/>
              <w:rPr>
                <w:rFonts w:ascii="Times New Roman" w:eastAsia="Aptos" w:hAnsi="Times New Roman" w:cs="Times New Roman"/>
                <w:sz w:val="24"/>
                <w:szCs w:val="24"/>
                <w:lang w:val="ru-RU"/>
              </w:rPr>
            </w:pPr>
            <w:r w:rsidRPr="003B176F">
              <w:rPr>
                <w:rFonts w:ascii="Times New Roman" w:eastAsia="Aptos" w:hAnsi="Times New Roman" w:cs="Times New Roman"/>
                <w:sz w:val="24"/>
                <w:szCs w:val="24"/>
                <w:lang w:val="ru-RU"/>
              </w:rPr>
              <w:t>Друкарський</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60EBAD7C"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5</w:t>
            </w:r>
          </w:p>
        </w:tc>
        <w:tc>
          <w:tcPr>
            <w:tcW w:w="3113" w:type="dxa"/>
            <w:gridSpan w:val="2"/>
            <w:tcBorders>
              <w:top w:val="single" w:sz="4" w:space="0" w:color="000000"/>
              <w:left w:val="single" w:sz="4" w:space="0" w:color="000000"/>
              <w:bottom w:val="single" w:sz="4" w:space="0" w:color="000000"/>
              <w:right w:val="single" w:sz="4" w:space="0" w:color="000000"/>
            </w:tcBorders>
            <w:vAlign w:val="center"/>
            <w:hideMark/>
          </w:tcPr>
          <w:p w14:paraId="4C6B60E9"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3</w:t>
            </w:r>
          </w:p>
        </w:tc>
      </w:tr>
      <w:tr w:rsidR="00480E35" w:rsidRPr="003B176F" w14:paraId="5A3340A6" w14:textId="77777777" w:rsidTr="00480E35">
        <w:trPr>
          <w:trHeight w:val="385"/>
          <w:jc w:val="center"/>
        </w:trPr>
        <w:tc>
          <w:tcPr>
            <w:tcW w:w="3111" w:type="dxa"/>
            <w:tcBorders>
              <w:top w:val="single" w:sz="4" w:space="0" w:color="000000"/>
              <w:left w:val="single" w:sz="4" w:space="0" w:color="000000"/>
              <w:bottom w:val="single" w:sz="4" w:space="0" w:color="000000"/>
              <w:right w:val="single" w:sz="4" w:space="0" w:color="000000"/>
            </w:tcBorders>
            <w:vAlign w:val="center"/>
            <w:hideMark/>
          </w:tcPr>
          <w:p w14:paraId="7B5DBC95" w14:textId="77777777" w:rsidR="00480E35" w:rsidRPr="003B176F" w:rsidRDefault="00480E35" w:rsidP="009B701C">
            <w:pPr>
              <w:spacing w:after="0" w:line="360" w:lineRule="auto"/>
              <w:jc w:val="center"/>
              <w:rPr>
                <w:rFonts w:ascii="Times New Roman" w:eastAsia="Aptos" w:hAnsi="Times New Roman" w:cs="Times New Roman"/>
                <w:sz w:val="24"/>
                <w:szCs w:val="24"/>
                <w:lang w:val="ru-RU"/>
              </w:rPr>
            </w:pPr>
            <w:r w:rsidRPr="003B176F">
              <w:rPr>
                <w:rFonts w:ascii="Times New Roman" w:eastAsia="Aptos" w:hAnsi="Times New Roman" w:cs="Times New Roman"/>
                <w:sz w:val="24"/>
                <w:szCs w:val="24"/>
                <w:lang w:val="ru-RU"/>
              </w:rPr>
              <w:t>Офсетний</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56189EC2"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5</w:t>
            </w:r>
          </w:p>
        </w:tc>
        <w:tc>
          <w:tcPr>
            <w:tcW w:w="3113" w:type="dxa"/>
            <w:gridSpan w:val="2"/>
            <w:tcBorders>
              <w:top w:val="single" w:sz="4" w:space="0" w:color="000000"/>
              <w:left w:val="single" w:sz="4" w:space="0" w:color="000000"/>
              <w:bottom w:val="single" w:sz="4" w:space="0" w:color="000000"/>
              <w:right w:val="single" w:sz="4" w:space="0" w:color="000000"/>
            </w:tcBorders>
            <w:vAlign w:val="center"/>
            <w:hideMark/>
          </w:tcPr>
          <w:p w14:paraId="098F516C" w14:textId="77777777" w:rsidR="00480E35" w:rsidRPr="003B176F" w:rsidRDefault="00480E35" w:rsidP="009B701C">
            <w:pPr>
              <w:spacing w:after="0" w:line="360" w:lineRule="auto"/>
              <w:jc w:val="center"/>
              <w:rPr>
                <w:rFonts w:ascii="Times New Roman" w:eastAsia="Aptos" w:hAnsi="Times New Roman" w:cs="Times New Roman"/>
                <w:sz w:val="24"/>
                <w:szCs w:val="24"/>
              </w:rPr>
            </w:pPr>
            <w:r w:rsidRPr="003B176F">
              <w:rPr>
                <w:rFonts w:ascii="Times New Roman" w:eastAsia="Aptos" w:hAnsi="Times New Roman" w:cs="Times New Roman"/>
                <w:sz w:val="24"/>
                <w:szCs w:val="24"/>
              </w:rPr>
              <w:t>5</w:t>
            </w:r>
          </w:p>
        </w:tc>
      </w:tr>
    </w:tbl>
    <w:p w14:paraId="7B4404C8" w14:textId="77777777" w:rsidR="00480E35" w:rsidRPr="003B176F" w:rsidRDefault="00480E35" w:rsidP="009B701C">
      <w:pPr>
        <w:widowControl w:val="0"/>
        <w:spacing w:after="0" w:line="360" w:lineRule="auto"/>
        <w:jc w:val="center"/>
        <w:rPr>
          <w:rFonts w:ascii="Times New Roman" w:eastAsia="Calibri" w:hAnsi="Times New Roman" w:cs="Times New Roman"/>
          <w:kern w:val="0"/>
          <w:sz w:val="28"/>
          <w:szCs w:val="28"/>
        </w:rPr>
      </w:pPr>
    </w:p>
    <w:p w14:paraId="7B785CBF" w14:textId="77777777" w:rsidR="00A940D8" w:rsidRPr="003B176F" w:rsidRDefault="00A940D8" w:rsidP="009B701C">
      <w:pPr>
        <w:spacing w:after="0" w:line="360" w:lineRule="auto"/>
        <w:ind w:firstLine="567"/>
        <w:jc w:val="both"/>
        <w:rPr>
          <w:rFonts w:ascii="Times New Roman" w:eastAsia="Aptos" w:hAnsi="Times New Roman" w:cs="Times New Roman"/>
          <w:sz w:val="28"/>
          <w:szCs w:val="28"/>
        </w:rPr>
      </w:pPr>
      <w:r w:rsidRPr="003B176F">
        <w:rPr>
          <w:rFonts w:ascii="Times New Roman" w:eastAsia="Aptos" w:hAnsi="Times New Roman" w:cs="Times New Roman"/>
          <w:sz w:val="28"/>
          <w:szCs w:val="28"/>
        </w:rPr>
        <w:t>Після оброб</w:t>
      </w:r>
      <w:r w:rsidR="000A0862" w:rsidRPr="003B176F">
        <w:rPr>
          <w:rFonts w:ascii="Times New Roman" w:eastAsia="Aptos" w:hAnsi="Times New Roman" w:cs="Times New Roman"/>
          <w:sz w:val="28"/>
          <w:szCs w:val="28"/>
        </w:rPr>
        <w:t>лення</w:t>
      </w:r>
      <w:r w:rsidRPr="003B176F">
        <w:rPr>
          <w:rFonts w:ascii="Times New Roman" w:eastAsia="Aptos" w:hAnsi="Times New Roman" w:cs="Times New Roman"/>
          <w:sz w:val="28"/>
          <w:szCs w:val="28"/>
        </w:rPr>
        <w:t xml:space="preserve"> препаратом </w:t>
      </w:r>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Акватон</w:t>
      </w:r>
      <w:r w:rsidR="00CF7D8B" w:rsidRPr="003B176F">
        <w:rPr>
          <w:rFonts w:ascii="Times New Roman" w:eastAsia="Aptos" w:hAnsi="Times New Roman" w:cs="Times New Roman"/>
          <w:sz w:val="28"/>
          <w:szCs w:val="28"/>
        </w:rPr>
        <w:t>»</w:t>
      </w:r>
      <w:r w:rsidRPr="003B176F">
        <w:rPr>
          <w:rFonts w:ascii="Times New Roman" w:eastAsia="Aptos" w:hAnsi="Times New Roman" w:cs="Times New Roman"/>
          <w:sz w:val="28"/>
          <w:szCs w:val="28"/>
        </w:rPr>
        <w:t xml:space="preserve"> найкращий захисний ефект встановлено для ганчір'яного паперу, грибостійкість якого становила 2 бали. Для друкарського паперу показник ураження знизився до 3 балів, для газетного — до 4 балів. На офсетному папері за використаних умов досліду препарат не забезпечив підвищення грибостійкості, оскільки ступінь ураження залишився на рівні контролю (5 балів). Отримані результати свідчать, що ефективність </w:t>
      </w:r>
      <w:r w:rsidR="00456A9F" w:rsidRPr="003B176F">
        <w:rPr>
          <w:rFonts w:ascii="Times New Roman" w:eastAsia="Aptos" w:hAnsi="Times New Roman" w:cs="Times New Roman"/>
          <w:sz w:val="28"/>
          <w:szCs w:val="28"/>
        </w:rPr>
        <w:t xml:space="preserve">препарату «Акватон» </w:t>
      </w:r>
      <w:r w:rsidRPr="003B176F">
        <w:rPr>
          <w:rFonts w:ascii="Times New Roman" w:eastAsia="Aptos" w:hAnsi="Times New Roman" w:cs="Times New Roman"/>
          <w:sz w:val="28"/>
          <w:szCs w:val="28"/>
        </w:rPr>
        <w:t>залежить не лише від його фунгіцидної активності, а й від структури та сорбційних властивостей різних типів паперу.</w:t>
      </w:r>
    </w:p>
    <w:p w14:paraId="538B0166" w14:textId="77777777" w:rsidR="00A940D8" w:rsidRPr="003B176F" w:rsidRDefault="00480E35" w:rsidP="009B701C">
      <w:pPr>
        <w:spacing w:after="0" w:line="360" w:lineRule="auto"/>
        <w:ind w:firstLine="567"/>
        <w:jc w:val="both"/>
        <w:rPr>
          <w:rFonts w:ascii="Times New Roman" w:eastAsia="Aptos" w:hAnsi="Times New Roman" w:cs="Times New Roman"/>
          <w:sz w:val="28"/>
          <w:szCs w:val="28"/>
        </w:rPr>
      </w:pPr>
      <w:r w:rsidRPr="003B176F">
        <w:rPr>
          <w:rFonts w:ascii="Times New Roman" w:eastAsia="Aptos" w:hAnsi="Times New Roman" w:cs="Times New Roman"/>
          <w:sz w:val="28"/>
          <w:szCs w:val="28"/>
        </w:rPr>
        <w:t>Таким чином,</w:t>
      </w:r>
      <w:r w:rsidRPr="003B176F">
        <w:rPr>
          <w:rFonts w:ascii="Times New Roman" w:eastAsia="Aptos" w:hAnsi="Times New Roman" w:cs="Times New Roman"/>
          <w:b/>
          <w:bCs/>
          <w:sz w:val="28"/>
          <w:szCs w:val="28"/>
        </w:rPr>
        <w:t xml:space="preserve"> </w:t>
      </w:r>
      <w:r w:rsidR="000A0862" w:rsidRPr="003B176F">
        <w:rPr>
          <w:rFonts w:ascii="Times New Roman" w:eastAsia="Aptos" w:hAnsi="Times New Roman" w:cs="Times New Roman"/>
          <w:bCs/>
          <w:sz w:val="28"/>
          <w:szCs w:val="28"/>
        </w:rPr>
        <w:t>препарат</w:t>
      </w:r>
      <w:r w:rsidR="000A0862" w:rsidRPr="003B176F">
        <w:rPr>
          <w:rFonts w:ascii="Times New Roman" w:eastAsia="Aptos" w:hAnsi="Times New Roman" w:cs="Times New Roman"/>
          <w:b/>
          <w:bCs/>
          <w:sz w:val="28"/>
          <w:szCs w:val="28"/>
        </w:rPr>
        <w:t xml:space="preserve"> </w:t>
      </w:r>
      <w:r w:rsidR="00456A9F" w:rsidRPr="003B176F">
        <w:rPr>
          <w:rFonts w:ascii="Times New Roman" w:eastAsia="Aptos" w:hAnsi="Times New Roman" w:cs="Times New Roman"/>
          <w:b/>
          <w:bCs/>
          <w:sz w:val="28"/>
          <w:szCs w:val="28"/>
        </w:rPr>
        <w:t>«</w:t>
      </w:r>
      <w:r w:rsidR="00A940D8" w:rsidRPr="003B176F">
        <w:rPr>
          <w:rFonts w:ascii="Times New Roman" w:eastAsia="Aptos" w:hAnsi="Times New Roman" w:cs="Times New Roman"/>
          <w:sz w:val="28"/>
          <w:szCs w:val="28"/>
        </w:rPr>
        <w:t>Акватон</w:t>
      </w:r>
      <w:r w:rsidR="00456A9F" w:rsidRPr="003B176F">
        <w:rPr>
          <w:rFonts w:ascii="Times New Roman" w:eastAsia="Aptos" w:hAnsi="Times New Roman" w:cs="Times New Roman"/>
          <w:sz w:val="28"/>
          <w:szCs w:val="28"/>
        </w:rPr>
        <w:t>»</w:t>
      </w:r>
      <w:r w:rsidR="00A940D8" w:rsidRPr="003B176F">
        <w:rPr>
          <w:rFonts w:ascii="Times New Roman" w:eastAsia="Aptos" w:hAnsi="Times New Roman" w:cs="Times New Roman"/>
          <w:sz w:val="28"/>
          <w:szCs w:val="28"/>
        </w:rPr>
        <w:t xml:space="preserve"> характеризується високою фунгіцидною активністю щодо основних агентів біодеструкції паперу. Оброб</w:t>
      </w:r>
      <w:r w:rsidR="000A0862" w:rsidRPr="003B176F">
        <w:rPr>
          <w:rFonts w:ascii="Times New Roman" w:eastAsia="Aptos" w:hAnsi="Times New Roman" w:cs="Times New Roman"/>
          <w:sz w:val="28"/>
          <w:szCs w:val="28"/>
        </w:rPr>
        <w:t xml:space="preserve">лення </w:t>
      </w:r>
      <w:r w:rsidR="00A940D8" w:rsidRPr="003B176F">
        <w:rPr>
          <w:rFonts w:ascii="Times New Roman" w:eastAsia="Aptos" w:hAnsi="Times New Roman" w:cs="Times New Roman"/>
          <w:sz w:val="28"/>
          <w:szCs w:val="28"/>
        </w:rPr>
        <w:t xml:space="preserve">препаратом сприяє підвищенню грибостійкості окремих типів паперу, причому найбільший захисний ефект встановлено для ганчір'яного паперу. Отримані результати свідчать про перспективність застосування препарату </w:t>
      </w:r>
      <w:r w:rsidR="00456A9F" w:rsidRPr="003B176F">
        <w:rPr>
          <w:rFonts w:ascii="Times New Roman" w:eastAsia="Aptos" w:hAnsi="Times New Roman" w:cs="Times New Roman"/>
          <w:sz w:val="28"/>
          <w:szCs w:val="28"/>
        </w:rPr>
        <w:t>«</w:t>
      </w:r>
      <w:r w:rsidR="00A940D8" w:rsidRPr="003B176F">
        <w:rPr>
          <w:rFonts w:ascii="Times New Roman" w:eastAsia="Aptos" w:hAnsi="Times New Roman" w:cs="Times New Roman"/>
          <w:sz w:val="28"/>
          <w:szCs w:val="28"/>
        </w:rPr>
        <w:t>Акватон</w:t>
      </w:r>
      <w:r w:rsidR="00456A9F" w:rsidRPr="003B176F">
        <w:rPr>
          <w:rFonts w:ascii="Times New Roman" w:eastAsia="Aptos" w:hAnsi="Times New Roman" w:cs="Times New Roman"/>
          <w:sz w:val="28"/>
          <w:szCs w:val="28"/>
        </w:rPr>
        <w:t>»</w:t>
      </w:r>
      <w:r w:rsidR="00A940D8" w:rsidRPr="003B176F">
        <w:rPr>
          <w:rFonts w:ascii="Times New Roman" w:eastAsia="Aptos" w:hAnsi="Times New Roman" w:cs="Times New Roman"/>
          <w:sz w:val="28"/>
          <w:szCs w:val="28"/>
        </w:rPr>
        <w:t xml:space="preserve"> для захисту паперових матеріалів під час їх консервації та реставрації.</w:t>
      </w:r>
    </w:p>
    <w:p w14:paraId="5CA24A9B" w14:textId="77777777" w:rsidR="008A5E89" w:rsidRDefault="008A5E89" w:rsidP="008A5E89">
      <w:pPr>
        <w:widowControl w:val="0"/>
        <w:spacing w:after="0" w:line="240" w:lineRule="auto"/>
        <w:rPr>
          <w:rFonts w:ascii="Times New Roman" w:hAnsi="Times New Roman"/>
          <w:bCs/>
          <w:sz w:val="28"/>
          <w:szCs w:val="28"/>
          <w:lang w:val="ru-RU"/>
        </w:rPr>
      </w:pPr>
    </w:p>
    <w:p w14:paraId="16C18332" w14:textId="72CA7974" w:rsidR="009C1D46" w:rsidRPr="008A5E89" w:rsidRDefault="008A5E89" w:rsidP="008A5E89">
      <w:pPr>
        <w:widowControl w:val="0"/>
        <w:spacing w:after="0" w:line="240" w:lineRule="auto"/>
        <w:rPr>
          <w:rFonts w:ascii="Times New Roman" w:hAnsi="Times New Roman"/>
          <w:bCs/>
          <w:sz w:val="28"/>
          <w:szCs w:val="28"/>
          <w:lang w:val="ru-RU"/>
        </w:rPr>
      </w:pPr>
      <w:r>
        <w:rPr>
          <w:rFonts w:ascii="Times New Roman" w:hAnsi="Times New Roman"/>
          <w:bCs/>
          <w:sz w:val="28"/>
          <w:szCs w:val="28"/>
          <w:lang w:val="en-US"/>
        </w:rPr>
        <w:t>UDC 632.952+676.223.2</w:t>
      </w:r>
    </w:p>
    <w:p w14:paraId="18D2C02D" w14:textId="77777777" w:rsidR="00480E35" w:rsidRPr="003B176F" w:rsidRDefault="00480E35" w:rsidP="009B701C">
      <w:pPr>
        <w:widowControl w:val="0"/>
        <w:spacing w:after="0" w:line="360" w:lineRule="auto"/>
        <w:rPr>
          <w:rFonts w:ascii="Times New Roman" w:hAnsi="Times New Roman"/>
          <w:b/>
          <w:sz w:val="28"/>
          <w:szCs w:val="28"/>
          <w:lang w:val="en-US"/>
        </w:rPr>
      </w:pPr>
      <w:r w:rsidRPr="003B176F">
        <w:rPr>
          <w:rFonts w:ascii="Times New Roman" w:hAnsi="Times New Roman"/>
          <w:b/>
          <w:sz w:val="28"/>
          <w:szCs w:val="28"/>
          <w:lang w:val="en-US"/>
        </w:rPr>
        <w:t>P</w:t>
      </w:r>
      <w:r w:rsidR="00E25FF3" w:rsidRPr="003B176F">
        <w:rPr>
          <w:rFonts w:ascii="Times New Roman" w:hAnsi="Times New Roman"/>
          <w:b/>
          <w:sz w:val="28"/>
          <w:szCs w:val="28"/>
        </w:rPr>
        <w:t>y</w:t>
      </w:r>
      <w:proofErr w:type="spellStart"/>
      <w:r w:rsidRPr="003B176F">
        <w:rPr>
          <w:rFonts w:ascii="Times New Roman" w:hAnsi="Times New Roman"/>
          <w:b/>
          <w:sz w:val="28"/>
          <w:szCs w:val="28"/>
          <w:lang w:val="en-US"/>
        </w:rPr>
        <w:t>smenna</w:t>
      </w:r>
      <w:proofErr w:type="spellEnd"/>
      <w:r w:rsidRPr="003B176F">
        <w:rPr>
          <w:rFonts w:ascii="Times New Roman" w:hAnsi="Times New Roman"/>
          <w:b/>
          <w:sz w:val="28"/>
          <w:szCs w:val="28"/>
          <w:lang w:val="en-US"/>
        </w:rPr>
        <w:t xml:space="preserve"> Yulia, </w:t>
      </w:r>
    </w:p>
    <w:p w14:paraId="68233BDD" w14:textId="77777777" w:rsidR="00480E35" w:rsidRPr="003B176F" w:rsidRDefault="00480E35"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 xml:space="preserve">Candidate of Biological Sciences, </w:t>
      </w:r>
    </w:p>
    <w:p w14:paraId="2ABC6BFF" w14:textId="77777777" w:rsidR="00480E35" w:rsidRPr="003B176F" w:rsidRDefault="00480E35"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 xml:space="preserve">Research Associate, </w:t>
      </w:r>
    </w:p>
    <w:p w14:paraId="1987DFE5" w14:textId="77777777" w:rsidR="00480E35" w:rsidRPr="003B176F" w:rsidRDefault="00480E35" w:rsidP="009B701C">
      <w:pPr>
        <w:widowControl w:val="0"/>
        <w:spacing w:after="0" w:line="360" w:lineRule="auto"/>
        <w:rPr>
          <w:rFonts w:ascii="Calibri" w:hAnsi="Calibri"/>
          <w:sz w:val="28"/>
          <w:szCs w:val="28"/>
          <w:lang w:val="en-US"/>
        </w:rPr>
      </w:pPr>
      <w:r w:rsidRPr="003B176F">
        <w:rPr>
          <w:rFonts w:ascii="Times New Roman" w:hAnsi="Times New Roman"/>
          <w:bCs/>
          <w:sz w:val="28"/>
          <w:szCs w:val="28"/>
          <w:lang w:val="en-US"/>
        </w:rPr>
        <w:t>Department of physiology and systematics of micromycetes</w:t>
      </w:r>
    </w:p>
    <w:p w14:paraId="0CA507E5" w14:textId="77777777" w:rsidR="00480E35" w:rsidRPr="003B176F" w:rsidRDefault="00480E35" w:rsidP="009B701C">
      <w:pPr>
        <w:widowControl w:val="0"/>
        <w:spacing w:after="0" w:line="360" w:lineRule="auto"/>
        <w:rPr>
          <w:rFonts w:ascii="Times New Roman" w:hAnsi="Times New Roman"/>
          <w:sz w:val="28"/>
          <w:szCs w:val="28"/>
          <w:lang w:val="en-US"/>
        </w:rPr>
      </w:pPr>
      <w:r w:rsidRPr="003B176F">
        <w:rPr>
          <w:rFonts w:ascii="Times New Roman" w:hAnsi="Times New Roman"/>
          <w:sz w:val="28"/>
          <w:szCs w:val="28"/>
        </w:rPr>
        <w:lastRenderedPageBreak/>
        <w:t>Danylo Zabolotny Institute of Microbiology and Virology of the National Academy of Sciences of Ukraine</w:t>
      </w:r>
    </w:p>
    <w:p w14:paraId="322C9C68" w14:textId="77777777" w:rsidR="00480E35" w:rsidRPr="003B176F" w:rsidRDefault="00480E35"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Kyiv, Ukraine</w:t>
      </w:r>
    </w:p>
    <w:p w14:paraId="74790ECE" w14:textId="77777777" w:rsidR="00480E35" w:rsidRPr="003B176F" w:rsidRDefault="00480E35" w:rsidP="009B701C">
      <w:pPr>
        <w:widowControl w:val="0"/>
        <w:spacing w:after="0" w:line="360" w:lineRule="auto"/>
        <w:rPr>
          <w:rFonts w:ascii="Calibri" w:hAnsi="Calibri"/>
          <w:sz w:val="28"/>
          <w:szCs w:val="28"/>
        </w:rPr>
      </w:pPr>
      <w:r w:rsidRPr="003B176F">
        <w:rPr>
          <w:rFonts w:ascii="Times New Roman" w:hAnsi="Times New Roman"/>
          <w:bCs/>
          <w:sz w:val="28"/>
          <w:szCs w:val="28"/>
          <w:lang w:val="en-US"/>
        </w:rPr>
        <w:t xml:space="preserve">е-mail: </w:t>
      </w:r>
      <w:r w:rsidRPr="003B176F">
        <w:rPr>
          <w:rFonts w:ascii="Times New Roman" w:hAnsi="Times New Roman"/>
          <w:bCs/>
          <w:sz w:val="28"/>
          <w:szCs w:val="28"/>
        </w:rPr>
        <w:t>ulitca@ukr.net</w:t>
      </w:r>
    </w:p>
    <w:p w14:paraId="6339EA8C" w14:textId="77777777" w:rsidR="00480E35" w:rsidRPr="003B176F" w:rsidRDefault="00480E35" w:rsidP="009B701C">
      <w:pPr>
        <w:widowControl w:val="0"/>
        <w:spacing w:after="0" w:line="360" w:lineRule="auto"/>
        <w:rPr>
          <w:rFonts w:ascii="Times New Roman" w:hAnsi="Times New Roman"/>
          <w:b/>
          <w:sz w:val="28"/>
          <w:szCs w:val="28"/>
          <w:lang w:val="en-US"/>
        </w:rPr>
      </w:pPr>
      <w:r w:rsidRPr="003B176F">
        <w:rPr>
          <w:rFonts w:ascii="Times New Roman" w:hAnsi="Times New Roman"/>
          <w:b/>
          <w:sz w:val="28"/>
          <w:szCs w:val="28"/>
          <w:lang w:val="en-US"/>
        </w:rPr>
        <w:t xml:space="preserve">Yaroslav Savchuk, </w:t>
      </w:r>
    </w:p>
    <w:p w14:paraId="3FE7E47C" w14:textId="77777777" w:rsidR="00480E35" w:rsidRPr="003B176F" w:rsidRDefault="009C1D46"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ORCID https://orcid.org/</w:t>
      </w:r>
      <w:r w:rsidR="00480E35" w:rsidRPr="003B176F">
        <w:rPr>
          <w:rFonts w:ascii="Times New Roman" w:hAnsi="Times New Roman"/>
          <w:bCs/>
          <w:sz w:val="28"/>
          <w:szCs w:val="28"/>
          <w:lang w:val="en-US"/>
        </w:rPr>
        <w:t>0000-0001-9872-8865,</w:t>
      </w:r>
    </w:p>
    <w:p w14:paraId="3E354AE7" w14:textId="77777777" w:rsidR="00480E35" w:rsidRPr="003B176F" w:rsidRDefault="00480E35"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 xml:space="preserve">Candidate of Biological Sciences, </w:t>
      </w:r>
    </w:p>
    <w:p w14:paraId="1D87624D" w14:textId="77777777" w:rsidR="00480E35" w:rsidRPr="003B176F" w:rsidRDefault="00480E35"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 xml:space="preserve">Research Associate, </w:t>
      </w:r>
    </w:p>
    <w:p w14:paraId="6DD2EA67" w14:textId="77777777" w:rsidR="00480E35" w:rsidRPr="003B176F" w:rsidRDefault="00480E35"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Department of Scientific Technologies for Preservation of Funds,</w:t>
      </w:r>
    </w:p>
    <w:p w14:paraId="4F7767BB" w14:textId="77777777" w:rsidR="00480E35" w:rsidRPr="003B176F" w:rsidRDefault="00480E35"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V.</w:t>
      </w:r>
      <w:r w:rsidR="009B701C" w:rsidRPr="003B176F">
        <w:rPr>
          <w:rFonts w:ascii="Times New Roman" w:hAnsi="Times New Roman"/>
          <w:bCs/>
          <w:sz w:val="28"/>
          <w:szCs w:val="28"/>
        </w:rPr>
        <w:t xml:space="preserve"> </w:t>
      </w:r>
      <w:r w:rsidRPr="003B176F">
        <w:rPr>
          <w:rFonts w:ascii="Times New Roman" w:hAnsi="Times New Roman"/>
          <w:bCs/>
          <w:sz w:val="28"/>
          <w:szCs w:val="28"/>
          <w:lang w:val="en-US"/>
        </w:rPr>
        <w:t>I. Vernadskyi National Library of Ukraine,</w:t>
      </w:r>
    </w:p>
    <w:p w14:paraId="32D34395" w14:textId="77777777" w:rsidR="00480E35" w:rsidRPr="003B176F" w:rsidRDefault="00480E35" w:rsidP="009B701C">
      <w:pPr>
        <w:widowControl w:val="0"/>
        <w:spacing w:after="0" w:line="360" w:lineRule="auto"/>
        <w:rPr>
          <w:rFonts w:ascii="Times New Roman" w:hAnsi="Times New Roman"/>
          <w:bCs/>
          <w:sz w:val="28"/>
          <w:szCs w:val="28"/>
          <w:lang w:val="en-US"/>
        </w:rPr>
      </w:pPr>
      <w:r w:rsidRPr="003B176F">
        <w:rPr>
          <w:rFonts w:ascii="Times New Roman" w:hAnsi="Times New Roman"/>
          <w:bCs/>
          <w:sz w:val="28"/>
          <w:szCs w:val="28"/>
          <w:lang w:val="en-US"/>
        </w:rPr>
        <w:t>Kyiv, Ukraine</w:t>
      </w:r>
    </w:p>
    <w:p w14:paraId="6DD46C04" w14:textId="77777777" w:rsidR="00480E35" w:rsidRPr="003B176F" w:rsidRDefault="00480E35" w:rsidP="009B701C">
      <w:pPr>
        <w:widowControl w:val="0"/>
        <w:spacing w:after="0" w:line="360" w:lineRule="auto"/>
        <w:rPr>
          <w:rFonts w:ascii="Times New Roman" w:hAnsi="Times New Roman"/>
          <w:bCs/>
          <w:sz w:val="28"/>
          <w:szCs w:val="28"/>
        </w:rPr>
      </w:pPr>
      <w:r w:rsidRPr="003B176F">
        <w:rPr>
          <w:rFonts w:ascii="Times New Roman" w:hAnsi="Times New Roman"/>
          <w:bCs/>
          <w:sz w:val="28"/>
          <w:szCs w:val="28"/>
          <w:lang w:val="en-US"/>
        </w:rPr>
        <w:t xml:space="preserve">е-mail: </w:t>
      </w:r>
      <w:hyperlink r:id="rId6" w:history="1">
        <w:r w:rsidR="009C1D46" w:rsidRPr="003B176F">
          <w:rPr>
            <w:rStyle w:val="af"/>
            <w:rFonts w:ascii="Times New Roman" w:hAnsi="Times New Roman"/>
            <w:bCs/>
            <w:color w:val="auto"/>
            <w:sz w:val="28"/>
            <w:szCs w:val="28"/>
            <w:u w:val="none"/>
            <w:lang w:val="en-US"/>
          </w:rPr>
          <w:t>majka42@ukr.net</w:t>
        </w:r>
      </w:hyperlink>
    </w:p>
    <w:p w14:paraId="0940BAD6" w14:textId="77777777" w:rsidR="009C1D46" w:rsidRPr="003B176F" w:rsidRDefault="009C1D46" w:rsidP="009B701C">
      <w:pPr>
        <w:widowControl w:val="0"/>
        <w:spacing w:after="0" w:line="360" w:lineRule="auto"/>
        <w:rPr>
          <w:rFonts w:ascii="Times New Roman" w:hAnsi="Times New Roman"/>
          <w:sz w:val="28"/>
          <w:szCs w:val="28"/>
        </w:rPr>
      </w:pPr>
    </w:p>
    <w:p w14:paraId="134C4E14" w14:textId="77777777" w:rsidR="00E25FF3" w:rsidRPr="003B176F" w:rsidRDefault="009B701C" w:rsidP="009B701C">
      <w:pPr>
        <w:spacing w:after="0" w:line="360" w:lineRule="auto"/>
        <w:jc w:val="center"/>
        <w:rPr>
          <w:rFonts w:ascii="Times New Roman" w:eastAsia="Aptos" w:hAnsi="Times New Roman" w:cs="Times New Roman"/>
          <w:b/>
          <w:bCs/>
          <w:sz w:val="28"/>
          <w:szCs w:val="28"/>
        </w:rPr>
      </w:pPr>
      <w:proofErr w:type="spellStart"/>
      <w:r w:rsidRPr="003B176F">
        <w:rPr>
          <w:rFonts w:ascii="Times New Roman" w:eastAsia="Aptos" w:hAnsi="Times New Roman" w:cs="Times New Roman"/>
          <w:b/>
          <w:bCs/>
          <w:sz w:val="28"/>
          <w:szCs w:val="28"/>
        </w:rPr>
        <w:t>Fungici</w:t>
      </w:r>
      <w:r w:rsidR="00783AF9">
        <w:rPr>
          <w:rFonts w:ascii="Times New Roman" w:eastAsia="Aptos" w:hAnsi="Times New Roman" w:cs="Times New Roman"/>
          <w:b/>
          <w:bCs/>
          <w:sz w:val="28"/>
          <w:szCs w:val="28"/>
        </w:rPr>
        <w:t>dal</w:t>
      </w:r>
      <w:proofErr w:type="spellEnd"/>
      <w:r w:rsidR="00783AF9">
        <w:rPr>
          <w:rFonts w:ascii="Times New Roman" w:eastAsia="Aptos" w:hAnsi="Times New Roman" w:cs="Times New Roman"/>
          <w:b/>
          <w:bCs/>
          <w:sz w:val="28"/>
          <w:szCs w:val="28"/>
        </w:rPr>
        <w:t xml:space="preserve"> </w:t>
      </w:r>
      <w:proofErr w:type="spellStart"/>
      <w:r w:rsidR="00783AF9">
        <w:rPr>
          <w:rFonts w:ascii="Times New Roman" w:eastAsia="Aptos" w:hAnsi="Times New Roman" w:cs="Times New Roman"/>
          <w:b/>
          <w:bCs/>
          <w:sz w:val="28"/>
          <w:szCs w:val="28"/>
        </w:rPr>
        <w:t>activity</w:t>
      </w:r>
      <w:proofErr w:type="spellEnd"/>
      <w:r w:rsidR="00783AF9">
        <w:rPr>
          <w:rFonts w:ascii="Times New Roman" w:eastAsia="Aptos" w:hAnsi="Times New Roman" w:cs="Times New Roman"/>
          <w:b/>
          <w:bCs/>
          <w:sz w:val="28"/>
          <w:szCs w:val="28"/>
        </w:rPr>
        <w:t xml:space="preserve"> </w:t>
      </w:r>
      <w:proofErr w:type="spellStart"/>
      <w:r w:rsidR="00783AF9">
        <w:rPr>
          <w:rFonts w:ascii="Times New Roman" w:eastAsia="Aptos" w:hAnsi="Times New Roman" w:cs="Times New Roman"/>
          <w:b/>
          <w:bCs/>
          <w:sz w:val="28"/>
          <w:szCs w:val="28"/>
        </w:rPr>
        <w:t>of</w:t>
      </w:r>
      <w:proofErr w:type="spellEnd"/>
      <w:r w:rsidR="00783AF9">
        <w:rPr>
          <w:rFonts w:ascii="Times New Roman" w:eastAsia="Aptos" w:hAnsi="Times New Roman" w:cs="Times New Roman"/>
          <w:b/>
          <w:bCs/>
          <w:sz w:val="28"/>
          <w:szCs w:val="28"/>
        </w:rPr>
        <w:t xml:space="preserve"> </w:t>
      </w:r>
      <w:proofErr w:type="spellStart"/>
      <w:r w:rsidR="00783AF9">
        <w:rPr>
          <w:rFonts w:ascii="Times New Roman" w:eastAsia="Aptos" w:hAnsi="Times New Roman" w:cs="Times New Roman"/>
          <w:b/>
          <w:bCs/>
          <w:sz w:val="28"/>
          <w:szCs w:val="28"/>
        </w:rPr>
        <w:t>the</w:t>
      </w:r>
      <w:proofErr w:type="spellEnd"/>
      <w:r w:rsidR="00783AF9">
        <w:rPr>
          <w:rFonts w:ascii="Times New Roman" w:eastAsia="Aptos" w:hAnsi="Times New Roman" w:cs="Times New Roman"/>
          <w:b/>
          <w:bCs/>
          <w:sz w:val="28"/>
          <w:szCs w:val="28"/>
        </w:rPr>
        <w:t xml:space="preserve"> </w:t>
      </w:r>
      <w:proofErr w:type="spellStart"/>
      <w:r w:rsidR="00783AF9">
        <w:rPr>
          <w:rFonts w:ascii="Times New Roman" w:eastAsia="Aptos" w:hAnsi="Times New Roman" w:cs="Times New Roman"/>
          <w:b/>
          <w:bCs/>
          <w:sz w:val="28"/>
          <w:szCs w:val="28"/>
        </w:rPr>
        <w:t>preparation</w:t>
      </w:r>
      <w:proofErr w:type="spellEnd"/>
      <w:r w:rsidR="00783AF9">
        <w:rPr>
          <w:rFonts w:ascii="Times New Roman" w:eastAsia="Aptos" w:hAnsi="Times New Roman" w:cs="Times New Roman"/>
          <w:b/>
          <w:bCs/>
          <w:sz w:val="28"/>
          <w:szCs w:val="28"/>
        </w:rPr>
        <w:t xml:space="preserve"> </w:t>
      </w:r>
      <w:r w:rsidR="00783AF9">
        <w:rPr>
          <w:rFonts w:ascii="Times New Roman" w:eastAsia="Aptos" w:hAnsi="Times New Roman" w:cs="Times New Roman"/>
          <w:b/>
          <w:bCs/>
          <w:sz w:val="28"/>
          <w:szCs w:val="28"/>
          <w:lang w:val="en-US"/>
        </w:rPr>
        <w:t>“</w:t>
      </w:r>
      <w:proofErr w:type="spellStart"/>
      <w:r w:rsidR="00783AF9" w:rsidRPr="003B176F">
        <w:rPr>
          <w:rFonts w:ascii="Times New Roman" w:eastAsia="Aptos" w:hAnsi="Times New Roman" w:cs="Times New Roman"/>
          <w:sz w:val="28"/>
          <w:szCs w:val="28"/>
        </w:rPr>
        <w:t>A</w:t>
      </w:r>
      <w:r w:rsidRPr="003B176F">
        <w:rPr>
          <w:rFonts w:ascii="Times New Roman" w:eastAsia="Aptos" w:hAnsi="Times New Roman" w:cs="Times New Roman"/>
          <w:b/>
          <w:bCs/>
          <w:sz w:val="28"/>
          <w:szCs w:val="28"/>
        </w:rPr>
        <w:t>quaton</w:t>
      </w:r>
      <w:proofErr w:type="spellEnd"/>
      <w:r w:rsidR="00783AF9">
        <w:rPr>
          <w:rFonts w:ascii="Times New Roman" w:eastAsia="Aptos" w:hAnsi="Times New Roman" w:cs="Times New Roman"/>
          <w:b/>
          <w:bCs/>
          <w:sz w:val="28"/>
          <w:szCs w:val="28"/>
          <w:lang w:val="en-US"/>
        </w:rPr>
        <w:t>”</w:t>
      </w:r>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against</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paper</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biodestruction</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agents</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and</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its</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influence</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on</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the</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fungal</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resistance</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of</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various</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types</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of</w:t>
      </w:r>
      <w:proofErr w:type="spellEnd"/>
      <w:r w:rsidRPr="003B176F">
        <w:rPr>
          <w:rFonts w:ascii="Times New Roman" w:eastAsia="Aptos" w:hAnsi="Times New Roman" w:cs="Times New Roman"/>
          <w:b/>
          <w:bCs/>
          <w:sz w:val="28"/>
          <w:szCs w:val="28"/>
        </w:rPr>
        <w:t xml:space="preserve"> </w:t>
      </w:r>
      <w:proofErr w:type="spellStart"/>
      <w:r w:rsidRPr="003B176F">
        <w:rPr>
          <w:rFonts w:ascii="Times New Roman" w:eastAsia="Aptos" w:hAnsi="Times New Roman" w:cs="Times New Roman"/>
          <w:b/>
          <w:bCs/>
          <w:sz w:val="28"/>
          <w:szCs w:val="28"/>
        </w:rPr>
        <w:t>paper</w:t>
      </w:r>
      <w:proofErr w:type="spellEnd"/>
    </w:p>
    <w:p w14:paraId="715C20CA" w14:textId="77777777" w:rsidR="007D3BAA" w:rsidRPr="003B176F" w:rsidRDefault="007D3BAA" w:rsidP="009B701C">
      <w:pPr>
        <w:spacing w:after="0" w:line="360" w:lineRule="auto"/>
        <w:jc w:val="both"/>
        <w:rPr>
          <w:rFonts w:ascii="Times New Roman" w:eastAsia="Aptos" w:hAnsi="Times New Roman" w:cs="Times New Roman"/>
          <w:sz w:val="28"/>
          <w:szCs w:val="28"/>
        </w:rPr>
      </w:pPr>
    </w:p>
    <w:p w14:paraId="7662E92E" w14:textId="77777777" w:rsidR="009B701C" w:rsidRPr="003B176F" w:rsidRDefault="00E25FF3" w:rsidP="009B701C">
      <w:pPr>
        <w:spacing w:after="0" w:line="360" w:lineRule="auto"/>
        <w:jc w:val="both"/>
        <w:rPr>
          <w:rFonts w:ascii="Times New Roman" w:eastAsia="Aptos" w:hAnsi="Times New Roman" w:cs="Times New Roman"/>
          <w:sz w:val="28"/>
          <w:szCs w:val="28"/>
        </w:rPr>
      </w:pPr>
      <w:proofErr w:type="spellStart"/>
      <w:r w:rsidRPr="003B176F">
        <w:rPr>
          <w:rFonts w:ascii="Times New Roman" w:eastAsia="Aptos" w:hAnsi="Times New Roman" w:cs="Times New Roman"/>
          <w:sz w:val="28"/>
          <w:szCs w:val="28"/>
        </w:rPr>
        <w:t>The</w:t>
      </w:r>
      <w:proofErr w:type="spellEnd"/>
      <w:r w:rsidRPr="003B176F">
        <w:rPr>
          <w:rFonts w:ascii="Times New Roman" w:eastAsia="Aptos" w:hAnsi="Times New Roman" w:cs="Times New Roman"/>
          <w:sz w:val="28"/>
          <w:szCs w:val="28"/>
        </w:rPr>
        <w:t xml:space="preserve"> </w:t>
      </w:r>
      <w:proofErr w:type="spellStart"/>
      <w:r w:rsidRPr="003B176F">
        <w:rPr>
          <w:rFonts w:ascii="Times New Roman" w:eastAsia="Aptos" w:hAnsi="Times New Roman" w:cs="Times New Roman"/>
          <w:sz w:val="28"/>
          <w:szCs w:val="28"/>
        </w:rPr>
        <w:t>antifungal</w:t>
      </w:r>
      <w:proofErr w:type="spellEnd"/>
      <w:r w:rsidRPr="003B176F">
        <w:rPr>
          <w:rFonts w:ascii="Times New Roman" w:eastAsia="Aptos" w:hAnsi="Times New Roman" w:cs="Times New Roman"/>
          <w:sz w:val="28"/>
          <w:szCs w:val="28"/>
        </w:rPr>
        <w:t xml:space="preserve"> </w:t>
      </w:r>
      <w:proofErr w:type="spellStart"/>
      <w:r w:rsidRPr="003B176F">
        <w:rPr>
          <w:rFonts w:ascii="Times New Roman" w:eastAsia="Aptos" w:hAnsi="Times New Roman" w:cs="Times New Roman"/>
          <w:sz w:val="28"/>
          <w:szCs w:val="28"/>
        </w:rPr>
        <w:t>activity</w:t>
      </w:r>
      <w:proofErr w:type="spellEnd"/>
      <w:r w:rsidRPr="003B176F">
        <w:rPr>
          <w:rFonts w:ascii="Times New Roman" w:eastAsia="Aptos" w:hAnsi="Times New Roman" w:cs="Times New Roman"/>
          <w:sz w:val="28"/>
          <w:szCs w:val="28"/>
        </w:rPr>
        <w:t xml:space="preserve"> </w:t>
      </w:r>
      <w:proofErr w:type="spellStart"/>
      <w:r w:rsidRPr="003B176F">
        <w:rPr>
          <w:rFonts w:ascii="Times New Roman" w:eastAsia="Aptos" w:hAnsi="Times New Roman" w:cs="Times New Roman"/>
          <w:sz w:val="28"/>
          <w:szCs w:val="28"/>
        </w:rPr>
        <w:t>of</w:t>
      </w:r>
      <w:proofErr w:type="spellEnd"/>
      <w:r w:rsidRPr="003B176F">
        <w:rPr>
          <w:rFonts w:ascii="Times New Roman" w:eastAsia="Aptos" w:hAnsi="Times New Roman" w:cs="Times New Roman"/>
          <w:sz w:val="28"/>
          <w:szCs w:val="28"/>
        </w:rPr>
        <w:t xml:space="preserve"> the preparation </w:t>
      </w:r>
      <w:r w:rsidR="00783AF9">
        <w:rPr>
          <w:rFonts w:ascii="Times New Roman" w:eastAsia="Aptos" w:hAnsi="Times New Roman" w:cs="Times New Roman"/>
          <w:sz w:val="28"/>
          <w:szCs w:val="28"/>
          <w:lang w:val="en-US"/>
        </w:rPr>
        <w:t>“</w:t>
      </w:r>
      <w:r w:rsidRPr="003B176F">
        <w:rPr>
          <w:rFonts w:ascii="Times New Roman" w:eastAsia="Aptos" w:hAnsi="Times New Roman" w:cs="Times New Roman"/>
          <w:sz w:val="28"/>
          <w:szCs w:val="28"/>
        </w:rPr>
        <w:t>Aquaton</w:t>
      </w:r>
      <w:r w:rsidR="00783AF9">
        <w:rPr>
          <w:rFonts w:ascii="Times New Roman" w:eastAsia="Aptos" w:hAnsi="Times New Roman" w:cs="Times New Roman"/>
          <w:sz w:val="28"/>
          <w:szCs w:val="28"/>
          <w:lang w:val="en-US"/>
        </w:rPr>
        <w:t>”</w:t>
      </w:r>
      <w:r w:rsidRPr="003B176F">
        <w:rPr>
          <w:rFonts w:ascii="Times New Roman" w:eastAsia="Aptos" w:hAnsi="Times New Roman" w:cs="Times New Roman"/>
          <w:sz w:val="28"/>
          <w:szCs w:val="28"/>
        </w:rPr>
        <w:t xml:space="preserve"> against microscopic fungi-biodestructors of paper and the fungal resistance of various types of paper treated with this preparation were studied. It was shown that Aquaton is characterized by high fungicidal activity against the main agents of paper biodestruction. It was established that treatment with the preparation contributes to an increase in the fungal resistance of certain types of paper</w:t>
      </w:r>
      <w:r w:rsidRPr="003B176F">
        <w:rPr>
          <w:rFonts w:ascii="Times New Roman" w:eastAsia="Aptos" w:hAnsi="Times New Roman" w:cs="Times New Roman"/>
          <w:sz w:val="28"/>
          <w:szCs w:val="28"/>
          <w:lang w:val="en-GB"/>
        </w:rPr>
        <w:t>.</w:t>
      </w:r>
      <w:r w:rsidRPr="003B176F">
        <w:rPr>
          <w:rFonts w:ascii="Times New Roman" w:eastAsia="Aptos" w:hAnsi="Times New Roman" w:cs="Times New Roman"/>
          <w:sz w:val="28"/>
          <w:szCs w:val="28"/>
        </w:rPr>
        <w:t xml:space="preserve"> The greatest protective effect was established for rag paper.</w:t>
      </w:r>
      <w:r w:rsidR="009B701C" w:rsidRPr="003B176F">
        <w:rPr>
          <w:rFonts w:ascii="Times New Roman" w:eastAsia="Aptos" w:hAnsi="Times New Roman" w:cs="Times New Roman"/>
          <w:sz w:val="28"/>
          <w:szCs w:val="28"/>
        </w:rPr>
        <w:t xml:space="preserve"> </w:t>
      </w:r>
    </w:p>
    <w:p w14:paraId="4B987708" w14:textId="77777777" w:rsidR="00A940D8" w:rsidRPr="00A940D8" w:rsidRDefault="00E25FF3" w:rsidP="009B701C">
      <w:pPr>
        <w:spacing w:after="0" w:line="360" w:lineRule="auto"/>
        <w:jc w:val="both"/>
        <w:rPr>
          <w:rFonts w:ascii="Times New Roman" w:eastAsia="Aptos" w:hAnsi="Times New Roman" w:cs="Times New Roman"/>
          <w:sz w:val="28"/>
          <w:szCs w:val="28"/>
        </w:rPr>
      </w:pPr>
      <w:proofErr w:type="spellStart"/>
      <w:r w:rsidRPr="003B176F">
        <w:rPr>
          <w:rFonts w:ascii="Times New Roman" w:eastAsia="Aptos" w:hAnsi="Times New Roman" w:cs="Times New Roman"/>
          <w:i/>
          <w:iCs/>
          <w:sz w:val="28"/>
          <w:szCs w:val="28"/>
        </w:rPr>
        <w:t>Keywords</w:t>
      </w:r>
      <w:proofErr w:type="spellEnd"/>
      <w:r w:rsidRPr="003B176F">
        <w:rPr>
          <w:rFonts w:ascii="Times New Roman" w:eastAsia="Aptos" w:hAnsi="Times New Roman" w:cs="Times New Roman"/>
          <w:i/>
          <w:iCs/>
          <w:sz w:val="28"/>
          <w:szCs w:val="28"/>
        </w:rPr>
        <w:t>:</w:t>
      </w:r>
      <w:r w:rsidRPr="003B176F">
        <w:rPr>
          <w:rFonts w:ascii="Times New Roman" w:eastAsia="Aptos" w:hAnsi="Times New Roman" w:cs="Times New Roman"/>
          <w:sz w:val="28"/>
          <w:szCs w:val="28"/>
        </w:rPr>
        <w:t xml:space="preserve"> </w:t>
      </w:r>
      <w:r w:rsidRPr="003B176F">
        <w:rPr>
          <w:rFonts w:ascii="Times New Roman" w:eastAsia="Aptos" w:hAnsi="Times New Roman" w:cs="Times New Roman"/>
          <w:sz w:val="28"/>
          <w:szCs w:val="28"/>
          <w:lang w:val="en-GB"/>
        </w:rPr>
        <w:t>fungi</w:t>
      </w:r>
      <w:r w:rsidRPr="003B176F">
        <w:rPr>
          <w:rFonts w:ascii="Times New Roman" w:eastAsia="Aptos" w:hAnsi="Times New Roman" w:cs="Times New Roman"/>
          <w:sz w:val="28"/>
          <w:szCs w:val="28"/>
        </w:rPr>
        <w:t>, biodestruction, antifungal activity, paper.</w:t>
      </w:r>
    </w:p>
    <w:p w14:paraId="331B4859" w14:textId="77777777" w:rsidR="00F8647D" w:rsidRDefault="00F8647D" w:rsidP="008B638C">
      <w:pPr>
        <w:spacing w:line="360" w:lineRule="auto"/>
      </w:pPr>
    </w:p>
    <w:sectPr w:rsidR="00F8647D" w:rsidSect="00480AA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80AAC"/>
    <w:rsid w:val="000A0862"/>
    <w:rsid w:val="000F3EEB"/>
    <w:rsid w:val="001423F2"/>
    <w:rsid w:val="00230BC1"/>
    <w:rsid w:val="003B176F"/>
    <w:rsid w:val="004540D5"/>
    <w:rsid w:val="00456A9F"/>
    <w:rsid w:val="00480AAC"/>
    <w:rsid w:val="00480E35"/>
    <w:rsid w:val="004C408E"/>
    <w:rsid w:val="005361A1"/>
    <w:rsid w:val="00672207"/>
    <w:rsid w:val="006D6669"/>
    <w:rsid w:val="00783AF9"/>
    <w:rsid w:val="007D3BAA"/>
    <w:rsid w:val="007D7EFD"/>
    <w:rsid w:val="007E38D0"/>
    <w:rsid w:val="00841959"/>
    <w:rsid w:val="008A1E2D"/>
    <w:rsid w:val="008A5E89"/>
    <w:rsid w:val="008B638C"/>
    <w:rsid w:val="008E19A7"/>
    <w:rsid w:val="00910B5A"/>
    <w:rsid w:val="009B701C"/>
    <w:rsid w:val="009C1D46"/>
    <w:rsid w:val="00A07EBE"/>
    <w:rsid w:val="00A940D8"/>
    <w:rsid w:val="00B32F9E"/>
    <w:rsid w:val="00B67AE7"/>
    <w:rsid w:val="00C044A5"/>
    <w:rsid w:val="00C05EF6"/>
    <w:rsid w:val="00CF7D8B"/>
    <w:rsid w:val="00E25FF3"/>
    <w:rsid w:val="00E318C9"/>
    <w:rsid w:val="00EA7930"/>
    <w:rsid w:val="00F06369"/>
    <w:rsid w:val="00F86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E7595"/>
  <w15:docId w15:val="{3D83DF5A-966A-46E9-ADE1-229DA661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0B5A"/>
    <w:rPr>
      <w:lang w:val="uk-UA"/>
    </w:rPr>
  </w:style>
  <w:style w:type="paragraph" w:styleId="1">
    <w:name w:val="heading 1"/>
    <w:basedOn w:val="a"/>
    <w:next w:val="a"/>
    <w:link w:val="10"/>
    <w:uiPriority w:val="9"/>
    <w:qFormat/>
    <w:rsid w:val="00480A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80A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80AA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80AA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80AA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80AA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80AA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80AA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80AA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0AAC"/>
    <w:rPr>
      <w:rFonts w:asciiTheme="majorHAnsi" w:eastAsiaTheme="majorEastAsia" w:hAnsiTheme="majorHAnsi" w:cstheme="majorBidi"/>
      <w:color w:val="2F5496" w:themeColor="accent1" w:themeShade="BF"/>
      <w:sz w:val="40"/>
      <w:szCs w:val="40"/>
      <w:lang w:val="uk-UA"/>
    </w:rPr>
  </w:style>
  <w:style w:type="character" w:customStyle="1" w:styleId="20">
    <w:name w:val="Заголовок 2 Знак"/>
    <w:basedOn w:val="a0"/>
    <w:link w:val="2"/>
    <w:uiPriority w:val="9"/>
    <w:semiHidden/>
    <w:rsid w:val="00480AAC"/>
    <w:rPr>
      <w:rFonts w:asciiTheme="majorHAnsi" w:eastAsiaTheme="majorEastAsia" w:hAnsiTheme="majorHAnsi" w:cstheme="majorBidi"/>
      <w:color w:val="2F5496" w:themeColor="accent1" w:themeShade="BF"/>
      <w:sz w:val="32"/>
      <w:szCs w:val="32"/>
      <w:lang w:val="uk-UA"/>
    </w:rPr>
  </w:style>
  <w:style w:type="character" w:customStyle="1" w:styleId="30">
    <w:name w:val="Заголовок 3 Знак"/>
    <w:basedOn w:val="a0"/>
    <w:link w:val="3"/>
    <w:uiPriority w:val="9"/>
    <w:semiHidden/>
    <w:rsid w:val="00480AAC"/>
    <w:rPr>
      <w:rFonts w:eastAsiaTheme="majorEastAsia" w:cstheme="majorBidi"/>
      <w:color w:val="2F5496" w:themeColor="accent1" w:themeShade="BF"/>
      <w:sz w:val="28"/>
      <w:szCs w:val="28"/>
      <w:lang w:val="uk-UA"/>
    </w:rPr>
  </w:style>
  <w:style w:type="character" w:customStyle="1" w:styleId="40">
    <w:name w:val="Заголовок 4 Знак"/>
    <w:basedOn w:val="a0"/>
    <w:link w:val="4"/>
    <w:uiPriority w:val="9"/>
    <w:semiHidden/>
    <w:rsid w:val="00480AAC"/>
    <w:rPr>
      <w:rFonts w:eastAsiaTheme="majorEastAsia" w:cstheme="majorBidi"/>
      <w:i/>
      <w:iCs/>
      <w:color w:val="2F5496" w:themeColor="accent1" w:themeShade="BF"/>
      <w:lang w:val="uk-UA"/>
    </w:rPr>
  </w:style>
  <w:style w:type="character" w:customStyle="1" w:styleId="50">
    <w:name w:val="Заголовок 5 Знак"/>
    <w:basedOn w:val="a0"/>
    <w:link w:val="5"/>
    <w:uiPriority w:val="9"/>
    <w:semiHidden/>
    <w:rsid w:val="00480AAC"/>
    <w:rPr>
      <w:rFonts w:eastAsiaTheme="majorEastAsia" w:cstheme="majorBidi"/>
      <w:color w:val="2F5496" w:themeColor="accent1" w:themeShade="BF"/>
      <w:lang w:val="uk-UA"/>
    </w:rPr>
  </w:style>
  <w:style w:type="character" w:customStyle="1" w:styleId="60">
    <w:name w:val="Заголовок 6 Знак"/>
    <w:basedOn w:val="a0"/>
    <w:link w:val="6"/>
    <w:uiPriority w:val="9"/>
    <w:semiHidden/>
    <w:rsid w:val="00480AAC"/>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480AAC"/>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480AAC"/>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480AAC"/>
    <w:rPr>
      <w:rFonts w:eastAsiaTheme="majorEastAsia" w:cstheme="majorBidi"/>
      <w:color w:val="272727" w:themeColor="text1" w:themeTint="D8"/>
      <w:lang w:val="uk-UA"/>
    </w:rPr>
  </w:style>
  <w:style w:type="paragraph" w:styleId="a3">
    <w:name w:val="Title"/>
    <w:basedOn w:val="a"/>
    <w:next w:val="a"/>
    <w:link w:val="a4"/>
    <w:uiPriority w:val="10"/>
    <w:qFormat/>
    <w:rsid w:val="00480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80AAC"/>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480AA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80AAC"/>
    <w:rPr>
      <w:rFonts w:eastAsiaTheme="majorEastAsia" w:cstheme="majorBidi"/>
      <w:color w:val="595959" w:themeColor="text1" w:themeTint="A6"/>
      <w:spacing w:val="15"/>
      <w:sz w:val="28"/>
      <w:szCs w:val="28"/>
      <w:lang w:val="uk-UA"/>
    </w:rPr>
  </w:style>
  <w:style w:type="paragraph" w:styleId="a7">
    <w:name w:val="Quote"/>
    <w:basedOn w:val="a"/>
    <w:next w:val="a"/>
    <w:link w:val="a8"/>
    <w:uiPriority w:val="29"/>
    <w:qFormat/>
    <w:rsid w:val="00480AAC"/>
    <w:pPr>
      <w:spacing w:before="160"/>
      <w:jc w:val="center"/>
    </w:pPr>
    <w:rPr>
      <w:i/>
      <w:iCs/>
      <w:color w:val="404040" w:themeColor="text1" w:themeTint="BF"/>
    </w:rPr>
  </w:style>
  <w:style w:type="character" w:customStyle="1" w:styleId="a8">
    <w:name w:val="Цитата Знак"/>
    <w:basedOn w:val="a0"/>
    <w:link w:val="a7"/>
    <w:uiPriority w:val="29"/>
    <w:rsid w:val="00480AAC"/>
    <w:rPr>
      <w:i/>
      <w:iCs/>
      <w:color w:val="404040" w:themeColor="text1" w:themeTint="BF"/>
      <w:lang w:val="uk-UA"/>
    </w:rPr>
  </w:style>
  <w:style w:type="paragraph" w:styleId="a9">
    <w:name w:val="List Paragraph"/>
    <w:basedOn w:val="a"/>
    <w:uiPriority w:val="34"/>
    <w:qFormat/>
    <w:rsid w:val="00480AAC"/>
    <w:pPr>
      <w:ind w:left="720"/>
      <w:contextualSpacing/>
    </w:pPr>
  </w:style>
  <w:style w:type="character" w:styleId="aa">
    <w:name w:val="Intense Emphasis"/>
    <w:basedOn w:val="a0"/>
    <w:uiPriority w:val="21"/>
    <w:qFormat/>
    <w:rsid w:val="00480AAC"/>
    <w:rPr>
      <w:i/>
      <w:iCs/>
      <w:color w:val="2F5496" w:themeColor="accent1" w:themeShade="BF"/>
    </w:rPr>
  </w:style>
  <w:style w:type="paragraph" w:styleId="ab">
    <w:name w:val="Intense Quote"/>
    <w:basedOn w:val="a"/>
    <w:next w:val="a"/>
    <w:link w:val="ac"/>
    <w:uiPriority w:val="30"/>
    <w:qFormat/>
    <w:rsid w:val="00480A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80AAC"/>
    <w:rPr>
      <w:i/>
      <w:iCs/>
      <w:color w:val="2F5496" w:themeColor="accent1" w:themeShade="BF"/>
      <w:lang w:val="uk-UA"/>
    </w:rPr>
  </w:style>
  <w:style w:type="character" w:styleId="ad">
    <w:name w:val="Intense Reference"/>
    <w:basedOn w:val="a0"/>
    <w:uiPriority w:val="32"/>
    <w:qFormat/>
    <w:rsid w:val="00480AAC"/>
    <w:rPr>
      <w:b/>
      <w:bCs/>
      <w:smallCaps/>
      <w:color w:val="2F5496" w:themeColor="accent1" w:themeShade="BF"/>
      <w:spacing w:val="5"/>
    </w:rPr>
  </w:style>
  <w:style w:type="table" w:styleId="ae">
    <w:name w:val="Table Grid"/>
    <w:basedOn w:val="a1"/>
    <w:uiPriority w:val="39"/>
    <w:rsid w:val="00A940D8"/>
    <w:pPr>
      <w:spacing w:after="0" w:line="240" w:lineRule="auto"/>
    </w:pPr>
    <w:rPr>
      <w:rFonts w:ascii="Aptos" w:eastAsia="Aptos" w:hAnsi="Aptos"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9C1D46"/>
    <w:rPr>
      <w:color w:val="0563C1" w:themeColor="hyperlink"/>
      <w:u w:val="single"/>
    </w:rPr>
  </w:style>
  <w:style w:type="character" w:customStyle="1" w:styleId="11">
    <w:name w:val="Незакрита згадка1"/>
    <w:basedOn w:val="a0"/>
    <w:uiPriority w:val="99"/>
    <w:semiHidden/>
    <w:unhideWhenUsed/>
    <w:rsid w:val="009C1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jka42@ukr.net" TargetMode="External"/><Relationship Id="rId5" Type="http://schemas.openxmlformats.org/officeDocument/2006/relationships/hyperlink" Target="mailto:majka42@ukr.net" TargetMode="External"/><Relationship Id="rId4" Type="http://schemas.openxmlformats.org/officeDocument/2006/relationships/hyperlink" Target="mailto:ulitca@uk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1113</Words>
  <Characters>6346</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Yarik Savchuk</dc:creator>
  <cp:keywords/>
  <dc:description/>
  <cp:lastModifiedBy>Yarik Savchuk</cp:lastModifiedBy>
  <cp:revision>16</cp:revision>
  <dcterms:created xsi:type="dcterms:W3CDTF">2026-08-07T07:04:00Z</dcterms:created>
  <dcterms:modified xsi:type="dcterms:W3CDTF">2026-08-17T14:27:00Z</dcterms:modified>
</cp:coreProperties>
</file>