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635CB" w14:textId="374100D4" w:rsidR="00C1596F" w:rsidRPr="00F329EC" w:rsidRDefault="00C1596F" w:rsidP="00727C89">
      <w:pPr>
        <w:spacing w:line="240" w:lineRule="auto"/>
        <w:jc w:val="right"/>
        <w:rPr>
          <w:rFonts w:ascii="Times New Roman" w:eastAsia="Times New Roman" w:hAnsi="Times New Roman" w:cs="Times New Roman"/>
          <w:sz w:val="28"/>
          <w:szCs w:val="28"/>
          <w:shd w:val="clear" w:color="auto" w:fill="FCFCF9"/>
        </w:rPr>
      </w:pPr>
      <w:proofErr w:type="spellStart"/>
      <w:r w:rsidRPr="00F329EC">
        <w:rPr>
          <w:rFonts w:ascii="Times New Roman" w:hAnsi="Times New Roman" w:cs="Times New Roman"/>
          <w:b/>
          <w:bCs/>
          <w:sz w:val="28"/>
          <w:szCs w:val="28"/>
        </w:rPr>
        <w:t>Хоу</w:t>
      </w:r>
      <w:proofErr w:type="spellEnd"/>
      <w:r w:rsidRPr="00F329EC">
        <w:rPr>
          <w:rFonts w:ascii="Times New Roman" w:hAnsi="Times New Roman" w:cs="Times New Roman"/>
          <w:b/>
          <w:bCs/>
          <w:sz w:val="28"/>
          <w:szCs w:val="28"/>
        </w:rPr>
        <w:t xml:space="preserve"> </w:t>
      </w:r>
      <w:r w:rsidR="00727C89" w:rsidRPr="00F329EC">
        <w:rPr>
          <w:rFonts w:ascii="Times New Roman" w:hAnsi="Times New Roman" w:cs="Times New Roman"/>
          <w:b/>
          <w:bCs/>
          <w:sz w:val="28"/>
          <w:szCs w:val="28"/>
        </w:rPr>
        <w:t>СИЖУЙ</w:t>
      </w:r>
      <w:r w:rsidRPr="00F329EC">
        <w:rPr>
          <w:rFonts w:ascii="Times New Roman" w:hAnsi="Times New Roman" w:cs="Times New Roman"/>
          <w:b/>
          <w:bCs/>
          <w:sz w:val="28"/>
          <w:szCs w:val="28"/>
        </w:rPr>
        <w:br/>
      </w:r>
      <w:r w:rsidR="00727C89" w:rsidRPr="00DC264F">
        <w:rPr>
          <w:rFonts w:ascii="Times New Roman" w:hAnsi="Times New Roman" w:cs="Times New Roman"/>
          <w:sz w:val="28"/>
          <w:szCs w:val="28"/>
        </w:rPr>
        <w:t>Аспірант</w:t>
      </w:r>
      <w:r w:rsidR="00727C89">
        <w:rPr>
          <w:rFonts w:ascii="Times New Roman" w:hAnsi="Times New Roman" w:cs="Times New Roman"/>
          <w:sz w:val="28"/>
          <w:szCs w:val="28"/>
        </w:rPr>
        <w:t>ка</w:t>
      </w:r>
      <w:r w:rsidR="00727C89" w:rsidRPr="00DC264F">
        <w:rPr>
          <w:rFonts w:ascii="Times New Roman" w:hAnsi="Times New Roman" w:cs="Times New Roman"/>
          <w:sz w:val="28"/>
          <w:szCs w:val="28"/>
        </w:rPr>
        <w:t xml:space="preserve"> </w:t>
      </w:r>
      <w:r w:rsidR="00727C89" w:rsidRPr="00694DB7">
        <w:rPr>
          <w:rFonts w:ascii="Times New Roman" w:hAnsi="Times New Roman" w:cs="Times New Roman"/>
          <w:bCs/>
          <w:sz w:val="28"/>
          <w:szCs w:val="28"/>
        </w:rPr>
        <w:t>кафедр</w:t>
      </w:r>
      <w:r w:rsidR="007D0176">
        <w:rPr>
          <w:rFonts w:ascii="Times New Roman" w:hAnsi="Times New Roman" w:cs="Times New Roman"/>
          <w:bCs/>
          <w:sz w:val="28"/>
          <w:szCs w:val="28"/>
          <w:lang w:val="ru-RU"/>
        </w:rPr>
        <w:t>и</w:t>
      </w:r>
      <w:r w:rsidR="00727C89" w:rsidRPr="00694DB7">
        <w:rPr>
          <w:rFonts w:ascii="Times New Roman" w:hAnsi="Times New Roman" w:cs="Times New Roman"/>
          <w:bCs/>
          <w:sz w:val="28"/>
          <w:szCs w:val="28"/>
        </w:rPr>
        <w:t xml:space="preserve"> історії української музики </w:t>
      </w:r>
      <w:r w:rsidR="00727C89">
        <w:rPr>
          <w:rFonts w:ascii="Times New Roman" w:hAnsi="Times New Roman" w:cs="Times New Roman"/>
          <w:bCs/>
          <w:sz w:val="28"/>
          <w:szCs w:val="28"/>
        </w:rPr>
        <w:br/>
      </w:r>
      <w:r w:rsidR="00727C89" w:rsidRPr="00694DB7">
        <w:rPr>
          <w:rFonts w:ascii="Times New Roman" w:hAnsi="Times New Roman" w:cs="Times New Roman"/>
          <w:bCs/>
          <w:sz w:val="28"/>
          <w:szCs w:val="28"/>
        </w:rPr>
        <w:t>та музичної фольклористики</w:t>
      </w:r>
      <w:r w:rsidR="00727C89" w:rsidRPr="00694DB7">
        <w:rPr>
          <w:rFonts w:ascii="Times New Roman" w:hAnsi="Times New Roman" w:cs="Times New Roman"/>
          <w:sz w:val="28"/>
          <w:szCs w:val="28"/>
        </w:rPr>
        <w:t xml:space="preserve"> </w:t>
      </w:r>
      <w:r w:rsidR="00727C89">
        <w:rPr>
          <w:rFonts w:ascii="Times New Roman" w:hAnsi="Times New Roman" w:cs="Times New Roman"/>
          <w:sz w:val="28"/>
          <w:szCs w:val="28"/>
        </w:rPr>
        <w:br/>
        <w:t>Національної музичної академії України</w:t>
      </w:r>
      <w:r w:rsidRPr="00F329EC">
        <w:rPr>
          <w:rFonts w:ascii="Times New Roman" w:hAnsi="Times New Roman" w:cs="Times New Roman"/>
          <w:sz w:val="28"/>
          <w:szCs w:val="28"/>
        </w:rPr>
        <w:t xml:space="preserve"> </w:t>
      </w:r>
      <w:r w:rsidRPr="00F329EC">
        <w:rPr>
          <w:rFonts w:ascii="Times New Roman" w:hAnsi="Times New Roman" w:cs="Times New Roman"/>
          <w:sz w:val="28"/>
          <w:szCs w:val="28"/>
        </w:rPr>
        <w:br/>
      </w:r>
      <w:hyperlink r:id="rId8" w:history="1">
        <w:r w:rsidRPr="00F329EC">
          <w:rPr>
            <w:rStyle w:val="ae"/>
            <w:rFonts w:ascii="Times New Roman" w:eastAsia="Times New Roman" w:hAnsi="Times New Roman" w:cs="Times New Roman"/>
            <w:sz w:val="28"/>
            <w:szCs w:val="28"/>
            <w:shd w:val="clear" w:color="auto" w:fill="FCFCF9"/>
          </w:rPr>
          <w:t>housirui009@gmail.com</w:t>
        </w:r>
      </w:hyperlink>
      <w:r w:rsidRPr="00F329EC">
        <w:rPr>
          <w:rFonts w:ascii="Times New Roman" w:hAnsi="Times New Roman" w:cs="Times New Roman"/>
          <w:sz w:val="28"/>
          <w:szCs w:val="28"/>
        </w:rPr>
        <w:br/>
      </w:r>
      <w:r w:rsidRPr="00F329EC">
        <w:rPr>
          <w:rFonts w:ascii="Times New Roman" w:eastAsia="Times New Roman" w:hAnsi="Times New Roman" w:cs="Times New Roman"/>
          <w:sz w:val="28"/>
          <w:szCs w:val="28"/>
          <w:shd w:val="clear" w:color="auto" w:fill="FCFCF9"/>
        </w:rPr>
        <w:t>orcid.org/0009-0002-3198-6661</w:t>
      </w:r>
    </w:p>
    <w:p w14:paraId="4E07D64B" w14:textId="4A39E916" w:rsidR="00F329EC" w:rsidRDefault="00727C89" w:rsidP="00727C89">
      <w:pPr>
        <w:spacing w:line="240" w:lineRule="auto"/>
        <w:ind w:firstLine="720"/>
        <w:jc w:val="right"/>
        <w:rPr>
          <w:rFonts w:ascii="Times New Roman" w:hAnsi="Times New Roman" w:cs="Times New Roman"/>
          <w:b/>
          <w:bCs/>
          <w:sz w:val="28"/>
          <w:szCs w:val="28"/>
          <w:lang w:val="ru-RU"/>
        </w:rPr>
      </w:pPr>
      <w:proofErr w:type="spellStart"/>
      <w:r w:rsidRPr="00727C89">
        <w:rPr>
          <w:rFonts w:ascii="Times New Roman" w:hAnsi="Times New Roman" w:cs="Times New Roman"/>
          <w:b/>
          <w:bCs/>
          <w:sz w:val="28"/>
          <w:szCs w:val="28"/>
          <w:lang w:val="ru-RU"/>
        </w:rPr>
        <w:t>Hou</w:t>
      </w:r>
      <w:proofErr w:type="spellEnd"/>
      <w:r w:rsidRPr="00727C89">
        <w:rPr>
          <w:rFonts w:ascii="Times New Roman" w:hAnsi="Times New Roman" w:cs="Times New Roman"/>
          <w:b/>
          <w:bCs/>
          <w:sz w:val="28"/>
          <w:szCs w:val="28"/>
          <w:lang w:val="ru-RU"/>
        </w:rPr>
        <w:t> SIRUI</w:t>
      </w:r>
      <w:r>
        <w:rPr>
          <w:rFonts w:ascii="Times New Roman" w:hAnsi="Times New Roman" w:cs="Times New Roman"/>
          <w:b/>
          <w:bCs/>
          <w:sz w:val="28"/>
          <w:szCs w:val="28"/>
          <w:lang w:val="ru-RU"/>
        </w:rPr>
        <w:br/>
      </w:r>
      <w:r w:rsidRPr="00727C89">
        <w:rPr>
          <w:rFonts w:ascii="Times New Roman" w:hAnsi="Times New Roman" w:cs="Times New Roman"/>
          <w:bCs/>
          <w:sz w:val="28"/>
          <w:szCs w:val="28"/>
          <w:lang w:val="ru-RU"/>
        </w:rPr>
        <w:t xml:space="preserve">PhD </w:t>
      </w:r>
      <w:proofErr w:type="spellStart"/>
      <w:r w:rsidRPr="00727C89">
        <w:rPr>
          <w:rFonts w:ascii="Times New Roman" w:hAnsi="Times New Roman" w:cs="Times New Roman"/>
          <w:bCs/>
          <w:sz w:val="28"/>
          <w:szCs w:val="28"/>
          <w:lang w:val="ru-RU"/>
        </w:rPr>
        <w:t>Student</w:t>
      </w:r>
      <w:proofErr w:type="spellEnd"/>
      <w:r>
        <w:rPr>
          <w:rFonts w:ascii="Times New Roman" w:hAnsi="Times New Roman" w:cs="Times New Roman"/>
          <w:bCs/>
          <w:sz w:val="28"/>
          <w:szCs w:val="28"/>
          <w:lang w:val="ru-RU"/>
        </w:rPr>
        <w:t>,</w:t>
      </w:r>
      <w:r w:rsidRPr="00727C89">
        <w:rPr>
          <w:rFonts w:ascii="Times New Roman" w:hAnsi="Times New Roman" w:cs="Times New Roman"/>
          <w:bCs/>
          <w:i/>
          <w:iCs/>
          <w:sz w:val="28"/>
          <w:szCs w:val="28"/>
          <w:lang w:val="ru-RU"/>
        </w:rPr>
        <w:t> </w:t>
      </w:r>
      <w:r w:rsidRPr="00684A79">
        <w:rPr>
          <w:rFonts w:ascii="Times New Roman" w:hAnsi="Times New Roman" w:cs="Times New Roman"/>
          <w:sz w:val="28"/>
          <w:szCs w:val="28"/>
          <w:lang w:val="ru-RU"/>
        </w:rPr>
        <w:t xml:space="preserve">Department </w:t>
      </w:r>
      <w:proofErr w:type="spellStart"/>
      <w:r w:rsidRPr="00684A79">
        <w:rPr>
          <w:rFonts w:ascii="Times New Roman" w:hAnsi="Times New Roman" w:cs="Times New Roman"/>
          <w:sz w:val="28"/>
          <w:szCs w:val="28"/>
          <w:lang w:val="ru-RU"/>
        </w:rPr>
        <w:t>of</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History</w:t>
      </w:r>
      <w:proofErr w:type="spellEnd"/>
      <w:r w:rsidRPr="00684A79">
        <w:rPr>
          <w:rFonts w:ascii="Times New Roman" w:hAnsi="Times New Roman" w:cs="Times New Roman"/>
          <w:sz w:val="28"/>
          <w:szCs w:val="28"/>
          <w:lang w:val="ru-RU"/>
        </w:rPr>
        <w:t xml:space="preserve"> </w:t>
      </w:r>
      <w:r>
        <w:rPr>
          <w:rFonts w:ascii="Times New Roman" w:hAnsi="Times New Roman" w:cs="Times New Roman"/>
          <w:sz w:val="28"/>
          <w:szCs w:val="28"/>
          <w:lang w:val="ru-RU"/>
        </w:rPr>
        <w:br/>
      </w:r>
      <w:proofErr w:type="spellStart"/>
      <w:r w:rsidRPr="00684A79">
        <w:rPr>
          <w:rFonts w:ascii="Times New Roman" w:hAnsi="Times New Roman" w:cs="Times New Roman"/>
          <w:sz w:val="28"/>
          <w:szCs w:val="28"/>
          <w:lang w:val="ru-RU"/>
        </w:rPr>
        <w:t>of</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Ukrainian</w:t>
      </w:r>
      <w:proofErr w:type="spellEnd"/>
      <w:r w:rsidRPr="00684A79">
        <w:rPr>
          <w:rFonts w:ascii="Times New Roman" w:hAnsi="Times New Roman" w:cs="Times New Roman"/>
          <w:sz w:val="28"/>
          <w:szCs w:val="28"/>
          <w:lang w:val="ru-RU"/>
        </w:rPr>
        <w:t xml:space="preserve"> Music </w:t>
      </w:r>
      <w:proofErr w:type="spellStart"/>
      <w:r w:rsidRPr="00684A79">
        <w:rPr>
          <w:rFonts w:ascii="Times New Roman" w:hAnsi="Times New Roman" w:cs="Times New Roman"/>
          <w:sz w:val="28"/>
          <w:szCs w:val="28"/>
          <w:lang w:val="ru-RU"/>
        </w:rPr>
        <w:t>and</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Musical</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Folklore</w:t>
      </w:r>
      <w:proofErr w:type="spellEnd"/>
      <w:r w:rsidRPr="00684A79">
        <w:rPr>
          <w:rFonts w:ascii="Times New Roman" w:hAnsi="Times New Roman" w:cs="Times New Roman"/>
          <w:sz w:val="28"/>
          <w:szCs w:val="28"/>
          <w:lang w:val="ru-RU"/>
        </w:rPr>
        <w:t xml:space="preserve">, </w:t>
      </w:r>
      <w:r>
        <w:rPr>
          <w:rFonts w:ascii="Times New Roman" w:hAnsi="Times New Roman" w:cs="Times New Roman"/>
          <w:sz w:val="28"/>
          <w:szCs w:val="28"/>
          <w:lang w:val="ru-RU"/>
        </w:rPr>
        <w:br/>
      </w:r>
      <w:r w:rsidRPr="00684A79">
        <w:rPr>
          <w:rFonts w:ascii="Times New Roman" w:hAnsi="Times New Roman" w:cs="Times New Roman"/>
          <w:sz w:val="28"/>
          <w:szCs w:val="28"/>
          <w:lang w:val="ru-RU"/>
        </w:rPr>
        <w:t xml:space="preserve">National Music Academy </w:t>
      </w:r>
      <w:proofErr w:type="spellStart"/>
      <w:r w:rsidRPr="00684A79">
        <w:rPr>
          <w:rFonts w:ascii="Times New Roman" w:hAnsi="Times New Roman" w:cs="Times New Roman"/>
          <w:sz w:val="28"/>
          <w:szCs w:val="28"/>
          <w:lang w:val="ru-RU"/>
        </w:rPr>
        <w:t>of</w:t>
      </w:r>
      <w:proofErr w:type="spellEnd"/>
      <w:r w:rsidRPr="00684A79">
        <w:rPr>
          <w:rFonts w:ascii="Times New Roman" w:hAnsi="Times New Roman" w:cs="Times New Roman"/>
          <w:sz w:val="28"/>
          <w:szCs w:val="28"/>
          <w:lang w:val="ru-RU"/>
        </w:rPr>
        <w:t xml:space="preserve"> Ukraine, </w:t>
      </w:r>
      <w:proofErr w:type="spellStart"/>
      <w:r w:rsidRPr="00684A79">
        <w:rPr>
          <w:rFonts w:ascii="Times New Roman" w:hAnsi="Times New Roman" w:cs="Times New Roman"/>
          <w:sz w:val="28"/>
          <w:szCs w:val="28"/>
          <w:lang w:val="ru-RU"/>
        </w:rPr>
        <w:t>Kyiv</w:t>
      </w:r>
      <w:proofErr w:type="spellEnd"/>
      <w:r w:rsidRPr="00684A79">
        <w:rPr>
          <w:rFonts w:ascii="Times New Roman" w:hAnsi="Times New Roman" w:cs="Times New Roman"/>
          <w:sz w:val="28"/>
          <w:szCs w:val="28"/>
          <w:lang w:val="ru-RU"/>
        </w:rPr>
        <w:t>, Ukraine</w:t>
      </w:r>
    </w:p>
    <w:p w14:paraId="37D3BEB8" w14:textId="77777777" w:rsidR="00727C89" w:rsidRDefault="00727C89" w:rsidP="00727C89">
      <w:pPr>
        <w:spacing w:line="240" w:lineRule="auto"/>
        <w:ind w:firstLine="720"/>
        <w:jc w:val="right"/>
        <w:rPr>
          <w:rFonts w:ascii="Times New Roman" w:hAnsi="Times New Roman" w:cs="Times New Roman"/>
          <w:b/>
          <w:bCs/>
          <w:sz w:val="28"/>
          <w:szCs w:val="28"/>
          <w:lang w:val="ru-RU"/>
        </w:rPr>
      </w:pPr>
    </w:p>
    <w:p w14:paraId="1BB9AEB6" w14:textId="0C576250" w:rsidR="00C1596F" w:rsidRPr="004349BF" w:rsidRDefault="004349BF" w:rsidP="00C1596F">
      <w:pPr>
        <w:spacing w:line="360" w:lineRule="auto"/>
        <w:ind w:firstLine="720"/>
        <w:jc w:val="center"/>
        <w:rPr>
          <w:rFonts w:ascii="Times New Roman" w:hAnsi="Times New Roman" w:cs="Times New Roman"/>
          <w:b/>
          <w:bCs/>
          <w:sz w:val="28"/>
          <w:szCs w:val="28"/>
          <w:lang w:val="ru-RU"/>
        </w:rPr>
      </w:pPr>
      <w:r w:rsidRPr="004349BF">
        <w:rPr>
          <w:rFonts w:ascii="Times New Roman" w:hAnsi="Times New Roman" w:cs="Times New Roman"/>
          <w:b/>
          <w:sz w:val="28"/>
          <w:szCs w:val="28"/>
        </w:rPr>
        <w:t xml:space="preserve">МЕЖІ ІНТЕРПРЕТАЦІЇ ТА СПІВТВОРЧОСТІ </w:t>
      </w:r>
      <w:r>
        <w:rPr>
          <w:rFonts w:ascii="Times New Roman" w:hAnsi="Times New Roman" w:cs="Times New Roman"/>
          <w:b/>
          <w:sz w:val="28"/>
          <w:szCs w:val="28"/>
        </w:rPr>
        <w:br/>
      </w:r>
      <w:r w:rsidRPr="004349BF">
        <w:rPr>
          <w:rFonts w:ascii="Times New Roman" w:hAnsi="Times New Roman" w:cs="Times New Roman"/>
          <w:b/>
          <w:sz w:val="28"/>
          <w:szCs w:val="28"/>
        </w:rPr>
        <w:t>У СУЧАСНІЙ ФОРТЕПІАННІЙ МУЗИЦІ</w:t>
      </w:r>
    </w:p>
    <w:p w14:paraId="2784EDD4" w14:textId="77777777" w:rsidR="00F329EC" w:rsidRPr="00F329EC" w:rsidRDefault="00F329EC" w:rsidP="00727C89">
      <w:pPr>
        <w:pStyle w:val="isselectedend"/>
        <w:spacing w:before="0" w:after="0" w:line="276" w:lineRule="auto"/>
        <w:jc w:val="both"/>
        <w:rPr>
          <w:sz w:val="28"/>
          <w:szCs w:val="28"/>
        </w:rPr>
      </w:pPr>
      <w:r>
        <w:rPr>
          <w:b/>
          <w:sz w:val="28"/>
        </w:rPr>
        <w:t xml:space="preserve">Анотація. </w:t>
      </w:r>
      <w:r>
        <w:rPr>
          <w:sz w:val="28"/>
        </w:rPr>
        <w:t>Досліджено межу між виконавською інтерпретацією та співтворчістю в сучасній фортепіанній музиці. На матеріалі Klavierstück XI К. Штокгаузена та Twenty-Five Pages Е. Брауна проаналізовано способи делегування піаністові рішень, що впливають на структурну й часову конфігурацію виконання. Запропоновано вважати критерієм переходу до співтворчості структурну значущість виконавського вибору для конкретної реалізації твору. Наголошено, що співтворчість не усуває композиторського авторства, а реалізується в межах заданої ним системи можливостей.</w:t>
      </w:r>
    </w:p>
    <w:p w14:paraId="6DC2F865" w14:textId="77777777" w:rsidR="00F329EC" w:rsidRPr="00F329EC" w:rsidRDefault="00F329EC" w:rsidP="00727C89">
      <w:pPr>
        <w:pStyle w:val="isselectedend"/>
        <w:spacing w:before="0" w:after="120" w:line="276" w:lineRule="auto"/>
        <w:jc w:val="both"/>
        <w:rPr>
          <w:sz w:val="28"/>
          <w:szCs w:val="28"/>
        </w:rPr>
      </w:pPr>
      <w:r>
        <w:rPr>
          <w:b/>
          <w:sz w:val="28"/>
        </w:rPr>
        <w:t xml:space="preserve">Ключові слова: </w:t>
      </w:r>
      <w:r>
        <w:rPr>
          <w:sz w:val="28"/>
        </w:rPr>
        <w:t>виконавська інтерпретація, співтворчість, творча суб’єктність виконавця, фортепіанна музика, відкрита форма, виконавський вибір.</w:t>
      </w:r>
    </w:p>
    <w:p w14:paraId="6BC020D1" w14:textId="77777777" w:rsidR="00C1596F" w:rsidRPr="004349BF" w:rsidRDefault="004349BF" w:rsidP="00727C89">
      <w:pPr>
        <w:keepNext/>
        <w:spacing w:before="120" w:after="0" w:line="276" w:lineRule="auto"/>
        <w:ind w:firstLine="720"/>
        <w:jc w:val="center"/>
        <w:rPr>
          <w:rFonts w:ascii="Times New Roman" w:hAnsi="Times New Roman" w:cs="Times New Roman"/>
          <w:b/>
          <w:bCs/>
          <w:sz w:val="28"/>
          <w:szCs w:val="28"/>
          <w:lang w:val="ru-RU"/>
        </w:rPr>
      </w:pPr>
      <w:r>
        <w:rPr>
          <w:rFonts w:ascii="Times New Roman" w:eastAsia="Times New Roman" w:hAnsi="Times New Roman" w:cs="Times New Roman"/>
          <w:b/>
          <w:sz w:val="28"/>
          <w:lang w:val="en-US"/>
        </w:rPr>
        <w:t>THE BOUNDARIES OF INTERPRETATION AND CO-CREATION IN CONTEMPORARY PIANO MUSIC</w:t>
      </w:r>
    </w:p>
    <w:p w14:paraId="44B7E1F2" w14:textId="77777777" w:rsidR="00F329EC" w:rsidRPr="00F329EC" w:rsidRDefault="00F329EC" w:rsidP="00727C89">
      <w:pPr>
        <w:pStyle w:val="isselectedend"/>
        <w:spacing w:before="0" w:after="0" w:line="276" w:lineRule="auto"/>
        <w:jc w:val="both"/>
        <w:rPr>
          <w:sz w:val="28"/>
          <w:szCs w:val="28"/>
        </w:rPr>
      </w:pPr>
      <w:r>
        <w:rPr>
          <w:b/>
          <w:sz w:val="28"/>
          <w:lang w:val="en-US"/>
        </w:rPr>
        <w:t xml:space="preserve">Abstract. </w:t>
      </w:r>
      <w:r>
        <w:rPr>
          <w:sz w:val="28"/>
          <w:lang w:val="en-US"/>
        </w:rPr>
        <w:t>The study examines the boundary between performance interpretation and co-creation in contemporary piano music. Using Karlheinz Stockhausen’s Klavierstück XI and Earle Brown’s Twenty-Five Pages as case studies, it analyses how decisions affecting the structural and temporal configuration of a performance are delegated to the pianist. The structural significance of the performer’s choice for a particular realisation of the work is proposed as the criterion for the transition to co-creation. Co-creation, it is argued, does not displace compositional authorship but operates within the system of possibilities established by the composer.</w:t>
      </w:r>
    </w:p>
    <w:p w14:paraId="5D63C9AB" w14:textId="77777777" w:rsidR="00F329EC" w:rsidRPr="00F329EC" w:rsidRDefault="00F329EC" w:rsidP="00727C89">
      <w:pPr>
        <w:pStyle w:val="isselectedend"/>
        <w:spacing w:before="0" w:after="120" w:line="276" w:lineRule="auto"/>
        <w:jc w:val="both"/>
        <w:rPr>
          <w:sz w:val="28"/>
          <w:szCs w:val="28"/>
        </w:rPr>
      </w:pPr>
      <w:r>
        <w:rPr>
          <w:b/>
          <w:sz w:val="28"/>
          <w:lang w:val="en-US"/>
        </w:rPr>
        <w:lastRenderedPageBreak/>
        <w:t xml:space="preserve">Keywords: </w:t>
      </w:r>
      <w:r>
        <w:rPr>
          <w:sz w:val="28"/>
          <w:lang w:val="en-US"/>
        </w:rPr>
        <w:t>performance interpretation, co-creation, performer’s creative agency, piano music, open form, performer choice.</w:t>
      </w:r>
    </w:p>
    <w:p w14:paraId="583C8D45" w14:textId="77777777" w:rsidR="00F329EC" w:rsidRPr="00F329EC" w:rsidRDefault="00F329EC" w:rsidP="00F329EC">
      <w:pPr>
        <w:pStyle w:val="isselectedend"/>
        <w:spacing w:line="360" w:lineRule="auto"/>
        <w:ind w:firstLine="567"/>
        <w:jc w:val="both"/>
        <w:rPr>
          <w:sz w:val="28"/>
          <w:szCs w:val="28"/>
        </w:rPr>
      </w:pPr>
      <w:r>
        <w:t xml:space="preserve">Упродовж тривалого часу відносини композитора і виконавця в академічній музичній </w:t>
      </w:r>
      <w:r w:rsidRPr="00F329EC">
        <w:rPr>
          <w:sz w:val="28"/>
          <w:szCs w:val="28"/>
        </w:rPr>
        <w:t xml:space="preserve">культурі визначалися відповідно до усталеного розподілу функцій: композитор створює твір і фіксує його в нотному тексті, а виконавець здійснює його звукову реалізацію. Творчість виконавця при цьому пов’язується насамперед з інтерпретацією — вибором темпу, динаміки, артикуляції, фразування, характеру </w:t>
      </w:r>
      <w:proofErr w:type="spellStart"/>
      <w:r w:rsidRPr="00F329EC">
        <w:rPr>
          <w:sz w:val="28"/>
          <w:szCs w:val="28"/>
        </w:rPr>
        <w:t>звуковидобування</w:t>
      </w:r>
      <w:proofErr w:type="spellEnd"/>
      <w:r w:rsidRPr="00F329EC">
        <w:rPr>
          <w:sz w:val="28"/>
          <w:szCs w:val="28"/>
        </w:rPr>
        <w:t xml:space="preserve"> та інших параметрів у межах заданої структури. Однак музичні практики ХХ–ХХІ століть значно ускладнили таку модель. Алеаторика, відкрита й мобільна форма, недетермінована нотація та імпровізаційні елементи передбачають передачу виконавцеві частини рішень, які раніше належали переважно до сфери композиції.</w:t>
      </w:r>
    </w:p>
    <w:p w14:paraId="31A4A653"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У зв’язку з цим виникає питання: за яких умов виконавське рішення виходить за межі інтерпретації та набуває </w:t>
      </w:r>
      <w:proofErr w:type="spellStart"/>
      <w:r w:rsidRPr="00F329EC">
        <w:rPr>
          <w:sz w:val="28"/>
          <w:szCs w:val="28"/>
        </w:rPr>
        <w:t>співтворчого</w:t>
      </w:r>
      <w:proofErr w:type="spellEnd"/>
      <w:r w:rsidRPr="00F329EC">
        <w:rPr>
          <w:sz w:val="28"/>
          <w:szCs w:val="28"/>
        </w:rPr>
        <w:t xml:space="preserve"> характеру? Метою цієї розвідки є визначення особливостей творчої участі піаніста в ситуаціях, коли йому делегуються структурно значущі рішення, а також окреслення критерію переходу від інтерпретації до співтворчості.</w:t>
      </w:r>
    </w:p>
    <w:p w14:paraId="148D7C7F"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Теоретичною основою такого підходу є сучасне переосмислення співвідношення музичного тексту і виконання. Ніколас Кук у праці </w:t>
      </w:r>
      <w:proofErr w:type="spellStart"/>
      <w:r w:rsidRPr="00F329EC">
        <w:rPr>
          <w:rStyle w:val="af4"/>
          <w:rFonts w:eastAsiaTheme="majorEastAsia"/>
          <w:sz w:val="28"/>
          <w:szCs w:val="28"/>
        </w:rPr>
        <w:t>Beyond</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the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Score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Music</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as</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Performance</w:t>
      </w:r>
      <w:proofErr w:type="spellEnd"/>
      <w:r w:rsidRPr="00F329EC">
        <w:rPr>
          <w:sz w:val="28"/>
          <w:szCs w:val="28"/>
        </w:rPr>
        <w:t xml:space="preserve"> критикує </w:t>
      </w:r>
      <w:proofErr w:type="spellStart"/>
      <w:r w:rsidRPr="00F329EC">
        <w:rPr>
          <w:sz w:val="28"/>
          <w:szCs w:val="28"/>
        </w:rPr>
        <w:t>текстоцентричну</w:t>
      </w:r>
      <w:proofErr w:type="spellEnd"/>
      <w:r w:rsidRPr="00F329EC">
        <w:rPr>
          <w:sz w:val="28"/>
          <w:szCs w:val="28"/>
        </w:rPr>
        <w:t xml:space="preserve"> модель, у межах якої музичний смисл розглядається як уже закладений у партитурі, а виконання — переважно як його відтворення </w:t>
      </w:r>
      <w:r w:rsidRPr="00F329EC">
        <w:rPr>
          <w:rStyle w:val="text-token-text-primary"/>
          <w:rFonts w:eastAsiaTheme="majorEastAsia"/>
          <w:sz w:val="28"/>
          <w:szCs w:val="28"/>
        </w:rPr>
        <w:t>[1]</w:t>
      </w:r>
      <w:r w:rsidRPr="00F329EC">
        <w:rPr>
          <w:sz w:val="28"/>
          <w:szCs w:val="28"/>
        </w:rPr>
        <w:t xml:space="preserve">. Натомість увага до музики як виконання дозволяє розглядати </w:t>
      </w:r>
      <w:proofErr w:type="spellStart"/>
      <w:r w:rsidRPr="00F329EC">
        <w:rPr>
          <w:sz w:val="28"/>
          <w:szCs w:val="28"/>
        </w:rPr>
        <w:t>перформативний</w:t>
      </w:r>
      <w:proofErr w:type="spellEnd"/>
      <w:r w:rsidRPr="00F329EC">
        <w:rPr>
          <w:sz w:val="28"/>
          <w:szCs w:val="28"/>
        </w:rPr>
        <w:t xml:space="preserve"> акт як важливий простір формування художнього смислу. У книзі </w:t>
      </w:r>
      <w:proofErr w:type="spellStart"/>
      <w:r w:rsidRPr="00F329EC">
        <w:rPr>
          <w:rStyle w:val="af4"/>
          <w:rFonts w:eastAsiaTheme="majorEastAsia"/>
          <w:sz w:val="28"/>
          <w:szCs w:val="28"/>
        </w:rPr>
        <w:t>Music</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as</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Creative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Practice</w:t>
      </w:r>
      <w:proofErr w:type="spellEnd"/>
      <w:r w:rsidRPr="00F329EC">
        <w:rPr>
          <w:sz w:val="28"/>
          <w:szCs w:val="28"/>
        </w:rPr>
        <w:t xml:space="preserve"> Кук розвиває цю ідею, трактуючи музичну творчість як практику, що виникає не лише в індивідуальному акті композиції, а й у процесі людської взаємодії </w:t>
      </w:r>
      <w:r w:rsidRPr="00F329EC">
        <w:rPr>
          <w:rStyle w:val="text-token-text-primary"/>
          <w:rFonts w:eastAsiaTheme="majorEastAsia"/>
          <w:sz w:val="28"/>
          <w:szCs w:val="28"/>
        </w:rPr>
        <w:t>[2]</w:t>
      </w:r>
      <w:r w:rsidRPr="00F329EC">
        <w:rPr>
          <w:sz w:val="28"/>
          <w:szCs w:val="28"/>
        </w:rPr>
        <w:t>.</w:t>
      </w:r>
    </w:p>
    <w:p w14:paraId="12EDCC69"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Такий підхід дозволяє відійти від спрощеної опозиції «композитор — творець / виконавець — відтворювач». Однак визнання творчої природи </w:t>
      </w:r>
      <w:r w:rsidRPr="00F329EC">
        <w:rPr>
          <w:sz w:val="28"/>
          <w:szCs w:val="28"/>
        </w:rPr>
        <w:lastRenderedPageBreak/>
        <w:t>виконання ще не означає тотожності інтерпретації та співтворчості. Навіть дуже індивідуальна інтерпретація може не змінювати основних структурних параметрів твору. Тому важливо визначити, за яких умов виконавець постає не лише як інтерпретатор нотного тексту, а як активний суб’єкт творчого процесу. У цьому аспекті важливими є не стільки обсяг його свободи, скільки характер і наслідки прийнятих ним рішень.</w:t>
      </w:r>
    </w:p>
    <w:p w14:paraId="47C79B6E"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У межах цієї розвідки творчу суб’єктність виконавця розуміємо як його здатність через власні рішення впливати на конкретну художню реалізацію музичного твору. При цьому можна розрізнити дві ситуації. У першій рішення музиканта визначають спосіб реалізації вже заданої структури — темп, динаміку, артикуляцію, фразування та характер звучання. У другій вони впливають на саму конфігурацію виконання — порядок матеріалу, його тривалість, розташування елементів або інші структурні параметри. Саме в другому випадку творча участь виконавця набуває виразного </w:t>
      </w:r>
      <w:proofErr w:type="spellStart"/>
      <w:r w:rsidRPr="00F329EC">
        <w:rPr>
          <w:sz w:val="28"/>
          <w:szCs w:val="28"/>
        </w:rPr>
        <w:t>співтворчого</w:t>
      </w:r>
      <w:proofErr w:type="spellEnd"/>
      <w:r w:rsidRPr="00F329EC">
        <w:rPr>
          <w:sz w:val="28"/>
          <w:szCs w:val="28"/>
        </w:rPr>
        <w:t xml:space="preserve"> характеру.</w:t>
      </w:r>
    </w:p>
    <w:p w14:paraId="2E3FD6A5" w14:textId="78B4EB2B" w:rsidR="00F329EC" w:rsidRPr="00F329EC" w:rsidRDefault="00F329EC" w:rsidP="00B15704">
      <w:pPr>
        <w:pStyle w:val="isselectedend"/>
        <w:spacing w:line="360" w:lineRule="auto"/>
        <w:ind w:firstLine="567"/>
        <w:jc w:val="both"/>
        <w:rPr>
          <w:sz w:val="28"/>
          <w:szCs w:val="28"/>
        </w:rPr>
      </w:pPr>
      <w:r w:rsidRPr="00F329EC">
        <w:rPr>
          <w:sz w:val="28"/>
          <w:szCs w:val="28"/>
        </w:rPr>
        <w:t xml:space="preserve">Показовим прикладом є </w:t>
      </w:r>
      <w:proofErr w:type="spellStart"/>
      <w:r w:rsidRPr="00F329EC">
        <w:rPr>
          <w:rStyle w:val="af4"/>
          <w:rFonts w:eastAsiaTheme="majorEastAsia"/>
          <w:sz w:val="28"/>
          <w:szCs w:val="28"/>
        </w:rPr>
        <w:t>Klavierstück</w:t>
      </w:r>
      <w:proofErr w:type="spellEnd"/>
      <w:r w:rsidRPr="00F329EC">
        <w:rPr>
          <w:rStyle w:val="af4"/>
          <w:rFonts w:eastAsiaTheme="majorEastAsia"/>
          <w:sz w:val="28"/>
          <w:szCs w:val="28"/>
        </w:rPr>
        <w:t xml:space="preserve"> XI</w:t>
      </w:r>
      <w:r w:rsidRPr="00F329EC">
        <w:rPr>
          <w:sz w:val="28"/>
          <w:szCs w:val="28"/>
        </w:rPr>
        <w:t xml:space="preserve"> </w:t>
      </w:r>
      <w:proofErr w:type="spellStart"/>
      <w:r w:rsidRPr="00F329EC">
        <w:rPr>
          <w:sz w:val="28"/>
          <w:szCs w:val="28"/>
        </w:rPr>
        <w:t>Карлгайнца</w:t>
      </w:r>
      <w:proofErr w:type="spellEnd"/>
      <w:r w:rsidRPr="00F329EC">
        <w:rPr>
          <w:sz w:val="28"/>
          <w:szCs w:val="28"/>
        </w:rPr>
        <w:t xml:space="preserve"> </w:t>
      </w:r>
      <w:proofErr w:type="spellStart"/>
      <w:r w:rsidRPr="00F329EC">
        <w:rPr>
          <w:sz w:val="28"/>
          <w:szCs w:val="28"/>
        </w:rPr>
        <w:t>Штокгаузена</w:t>
      </w:r>
      <w:proofErr w:type="spellEnd"/>
      <w:r w:rsidRPr="00F329EC">
        <w:rPr>
          <w:sz w:val="28"/>
          <w:szCs w:val="28"/>
        </w:rPr>
        <w:t xml:space="preserve"> (1956). Твір складається з дев’ятнадцяти музичних груп, розташованих на одному великому аркуші, а їхня послідовність не визначена традиційним лінійним способом. Стівен </w:t>
      </w:r>
      <w:proofErr w:type="spellStart"/>
      <w:r w:rsidRPr="00F329EC">
        <w:rPr>
          <w:sz w:val="28"/>
          <w:szCs w:val="28"/>
        </w:rPr>
        <w:t>Трулав</w:t>
      </w:r>
      <w:proofErr w:type="spellEnd"/>
      <w:r w:rsidRPr="00F329EC">
        <w:rPr>
          <w:sz w:val="28"/>
          <w:szCs w:val="28"/>
        </w:rPr>
        <w:t xml:space="preserve"> показує, що ці групи побудовані на основі ретельно організованого композиторського матеріалу, тому варіативність форми не означає відмови від авторського контролю </w:t>
      </w:r>
      <w:r w:rsidRPr="00F329EC">
        <w:rPr>
          <w:rStyle w:val="text-token-text-primary"/>
          <w:rFonts w:eastAsiaTheme="majorEastAsia"/>
          <w:sz w:val="28"/>
          <w:szCs w:val="28"/>
        </w:rPr>
        <w:t>[</w:t>
      </w:r>
      <w:r w:rsidR="007D0176">
        <w:rPr>
          <w:rStyle w:val="text-token-text-primary"/>
          <w:rFonts w:eastAsiaTheme="majorEastAsia"/>
          <w:sz w:val="28"/>
          <w:szCs w:val="28"/>
        </w:rPr>
        <w:t>4</w:t>
      </w:r>
      <w:r w:rsidRPr="00F329EC">
        <w:rPr>
          <w:rStyle w:val="text-token-text-primary"/>
          <w:rFonts w:eastAsiaTheme="majorEastAsia"/>
          <w:sz w:val="28"/>
          <w:szCs w:val="28"/>
        </w:rPr>
        <w:t>]</w:t>
      </w:r>
      <w:r w:rsidRPr="00F329EC">
        <w:rPr>
          <w:sz w:val="28"/>
          <w:szCs w:val="28"/>
        </w:rPr>
        <w:t>. Водночас конкретна послідовність груп виникає безпосередньо під час виконання відповідно до запропонованого композитором механізму вибору. Отже, рішення піаніста визначає не лише характер звучання матеріалу, а й формальну траєкторію конкретної реалізації твору.</w:t>
      </w:r>
      <w:r w:rsidR="00B15704">
        <w:rPr>
          <w:sz w:val="28"/>
          <w:szCs w:val="28"/>
        </w:rPr>
        <w:t xml:space="preserve"> </w:t>
      </w:r>
      <w:r w:rsidRPr="00F329EC">
        <w:rPr>
          <w:sz w:val="28"/>
          <w:szCs w:val="28"/>
        </w:rPr>
        <w:t xml:space="preserve">Цей приклад водночас показує, що творча суб’єктність виконавця не означає його повної автономії. Піаніст не створює музичний матеріал і не виходить за межі авторського задуму. Композитор задає систему можливостей, а виконавець своїми рішеннями реалізує одну з її </w:t>
      </w:r>
      <w:r w:rsidRPr="00F329EC">
        <w:rPr>
          <w:sz w:val="28"/>
          <w:szCs w:val="28"/>
        </w:rPr>
        <w:lastRenderedPageBreak/>
        <w:t>потенційних конфігурацій. Тому йдеться не про послаблення композиторської функції, а про делегування виконавцеві частини структурних рішень.</w:t>
      </w:r>
    </w:p>
    <w:p w14:paraId="621A487D" w14:textId="7E40BAFB" w:rsidR="00F329EC" w:rsidRPr="00F329EC" w:rsidRDefault="00F329EC" w:rsidP="00F329EC">
      <w:pPr>
        <w:pStyle w:val="isselectedend"/>
        <w:spacing w:line="360" w:lineRule="auto"/>
        <w:ind w:firstLine="567"/>
        <w:jc w:val="both"/>
        <w:rPr>
          <w:sz w:val="28"/>
          <w:szCs w:val="28"/>
        </w:rPr>
      </w:pPr>
      <w:r w:rsidRPr="00F329EC">
        <w:rPr>
          <w:sz w:val="28"/>
          <w:szCs w:val="28"/>
        </w:rPr>
        <w:t xml:space="preserve">Ще ширше поле виконавського вибору пропонує </w:t>
      </w:r>
      <w:proofErr w:type="spellStart"/>
      <w:r w:rsidRPr="00F329EC">
        <w:rPr>
          <w:rStyle w:val="af4"/>
          <w:rFonts w:eastAsiaTheme="majorEastAsia"/>
          <w:sz w:val="28"/>
          <w:szCs w:val="28"/>
        </w:rPr>
        <w:t>Twenty-Five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Pages</w:t>
      </w:r>
      <w:proofErr w:type="spellEnd"/>
      <w:r w:rsidRPr="00F329EC">
        <w:rPr>
          <w:sz w:val="28"/>
          <w:szCs w:val="28"/>
        </w:rPr>
        <w:t xml:space="preserve"> </w:t>
      </w:r>
      <w:proofErr w:type="spellStart"/>
      <w:r w:rsidRPr="00F329EC">
        <w:rPr>
          <w:sz w:val="28"/>
          <w:szCs w:val="28"/>
        </w:rPr>
        <w:t>Ерла</w:t>
      </w:r>
      <w:proofErr w:type="spellEnd"/>
      <w:r w:rsidRPr="00F329EC">
        <w:rPr>
          <w:sz w:val="28"/>
          <w:szCs w:val="28"/>
        </w:rPr>
        <w:t xml:space="preserve"> Брауна (1953), написаний для одного — двадцяти п’яти фортепіано. Двадцять п’ять сторінок твору можуть виконуватися у різній послідовності та просторовій орієнтації; можливі різні способи прочитання окремих систем, а часова організація може бути визначена заздалегідь або формуватися безпосередньо під час виконання </w:t>
      </w:r>
      <w:r w:rsidRPr="00F329EC">
        <w:rPr>
          <w:rStyle w:val="text-token-text-primary"/>
          <w:rFonts w:eastAsiaTheme="majorEastAsia"/>
          <w:sz w:val="28"/>
          <w:szCs w:val="28"/>
        </w:rPr>
        <w:t>[</w:t>
      </w:r>
      <w:r w:rsidR="007D0176">
        <w:rPr>
          <w:rStyle w:val="text-token-text-primary"/>
          <w:rFonts w:eastAsiaTheme="majorEastAsia"/>
          <w:sz w:val="28"/>
          <w:szCs w:val="28"/>
        </w:rPr>
        <w:t>5</w:t>
      </w:r>
      <w:r w:rsidRPr="00F329EC">
        <w:rPr>
          <w:rStyle w:val="text-token-text-primary"/>
          <w:rFonts w:eastAsiaTheme="majorEastAsia"/>
          <w:sz w:val="28"/>
          <w:szCs w:val="28"/>
        </w:rPr>
        <w:t>]</w:t>
      </w:r>
      <w:r w:rsidRPr="00F329EC">
        <w:rPr>
          <w:sz w:val="28"/>
          <w:szCs w:val="28"/>
        </w:rPr>
        <w:t>. Таким чином, рішення виконавця впливають одразу на кілька рівнів організації музичного матеріалу й безпосередньо визначають конкретну версію твору.</w:t>
      </w:r>
    </w:p>
    <w:p w14:paraId="255BC75E"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Водночас свобода у </w:t>
      </w:r>
      <w:proofErr w:type="spellStart"/>
      <w:r w:rsidRPr="00F329EC">
        <w:rPr>
          <w:rStyle w:val="af4"/>
          <w:rFonts w:eastAsiaTheme="majorEastAsia"/>
          <w:sz w:val="28"/>
          <w:szCs w:val="28"/>
        </w:rPr>
        <w:t>Twenty-Five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Pages</w:t>
      </w:r>
      <w:proofErr w:type="spellEnd"/>
      <w:r w:rsidRPr="00F329EC">
        <w:rPr>
          <w:sz w:val="28"/>
          <w:szCs w:val="28"/>
        </w:rPr>
        <w:t xml:space="preserve"> також існує в межах композиторської системи. Матеріал і способи можливих операцій задає Браун, але остаточна конфігурація виникає лише у виконанні. </w:t>
      </w:r>
      <w:proofErr w:type="spellStart"/>
      <w:r w:rsidRPr="00F329EC">
        <w:rPr>
          <w:sz w:val="28"/>
          <w:szCs w:val="28"/>
        </w:rPr>
        <w:t>Клеменс</w:t>
      </w:r>
      <w:proofErr w:type="spellEnd"/>
      <w:r w:rsidRPr="00F329EC">
        <w:rPr>
          <w:sz w:val="28"/>
          <w:szCs w:val="28"/>
        </w:rPr>
        <w:t xml:space="preserve"> </w:t>
      </w:r>
      <w:proofErr w:type="spellStart"/>
      <w:r w:rsidRPr="00F329EC">
        <w:rPr>
          <w:sz w:val="28"/>
          <w:szCs w:val="28"/>
        </w:rPr>
        <w:t>Грессер</w:t>
      </w:r>
      <w:proofErr w:type="spellEnd"/>
      <w:r w:rsidRPr="00F329EC">
        <w:rPr>
          <w:sz w:val="28"/>
          <w:szCs w:val="28"/>
        </w:rPr>
        <w:t xml:space="preserve"> пов’язує властиву музиці Брауна «творчу неоднозначність» із проблемою співтворчості та активною роллю виконавця у формуванні художнього результату </w:t>
      </w:r>
      <w:r w:rsidRPr="00F329EC">
        <w:rPr>
          <w:rStyle w:val="text-token-text-primary"/>
          <w:rFonts w:eastAsiaTheme="majorEastAsia"/>
          <w:sz w:val="28"/>
          <w:szCs w:val="28"/>
        </w:rPr>
        <w:t>[3]</w:t>
      </w:r>
      <w:r w:rsidRPr="00F329EC">
        <w:rPr>
          <w:sz w:val="28"/>
          <w:szCs w:val="28"/>
        </w:rPr>
        <w:t>.</w:t>
      </w:r>
    </w:p>
    <w:p w14:paraId="4CFC2076"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Порівняння </w:t>
      </w:r>
      <w:proofErr w:type="spellStart"/>
      <w:r w:rsidRPr="00F329EC">
        <w:rPr>
          <w:rStyle w:val="af4"/>
          <w:rFonts w:eastAsiaTheme="majorEastAsia"/>
          <w:sz w:val="28"/>
          <w:szCs w:val="28"/>
        </w:rPr>
        <w:t>Klavierstück</w:t>
      </w:r>
      <w:proofErr w:type="spellEnd"/>
      <w:r w:rsidRPr="00F329EC">
        <w:rPr>
          <w:rStyle w:val="af4"/>
          <w:rFonts w:eastAsiaTheme="majorEastAsia"/>
          <w:sz w:val="28"/>
          <w:szCs w:val="28"/>
        </w:rPr>
        <w:t xml:space="preserve"> XI</w:t>
      </w:r>
      <w:r w:rsidRPr="00F329EC">
        <w:rPr>
          <w:sz w:val="28"/>
          <w:szCs w:val="28"/>
        </w:rPr>
        <w:t xml:space="preserve"> та </w:t>
      </w:r>
      <w:proofErr w:type="spellStart"/>
      <w:r w:rsidRPr="00F329EC">
        <w:rPr>
          <w:rStyle w:val="af4"/>
          <w:rFonts w:eastAsiaTheme="majorEastAsia"/>
          <w:sz w:val="28"/>
          <w:szCs w:val="28"/>
        </w:rPr>
        <w:t>Twenty-Five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Pages</w:t>
      </w:r>
      <w:proofErr w:type="spellEnd"/>
      <w:r w:rsidRPr="00F329EC">
        <w:rPr>
          <w:sz w:val="28"/>
          <w:szCs w:val="28"/>
        </w:rPr>
        <w:t xml:space="preserve"> дозволяє точніше визначити межу між інтерпретацією та співтворчістю. Вона залежить не лише від кількості свободи або ступеня непередбачуваності виконання. Важливішим є те, </w:t>
      </w:r>
      <w:r w:rsidRPr="00F329EC">
        <w:rPr>
          <w:rStyle w:val="af5"/>
          <w:rFonts w:eastAsiaTheme="majorEastAsia"/>
          <w:b w:val="0"/>
          <w:sz w:val="28"/>
          <w:szCs w:val="28"/>
        </w:rPr>
        <w:t>на якому рівні рішення піаніста впливає на художній результат</w:t>
      </w:r>
      <w:r w:rsidRPr="00F329EC">
        <w:rPr>
          <w:sz w:val="28"/>
          <w:szCs w:val="28"/>
        </w:rPr>
        <w:t xml:space="preserve">. Якщо виконавський вибір визначає переважно спосіб реалізації вже сформованої структури, йдеться насамперед про інтерпретацію. Якщо ж без рішення виконавця не може бути визначена конкретна структурна або часова конфігурація виконання, його функція набуває </w:t>
      </w:r>
      <w:proofErr w:type="spellStart"/>
      <w:r w:rsidRPr="00F329EC">
        <w:rPr>
          <w:sz w:val="28"/>
          <w:szCs w:val="28"/>
        </w:rPr>
        <w:t>співтворчого</w:t>
      </w:r>
      <w:proofErr w:type="spellEnd"/>
      <w:r w:rsidRPr="00F329EC">
        <w:rPr>
          <w:sz w:val="28"/>
          <w:szCs w:val="28"/>
        </w:rPr>
        <w:t xml:space="preserve"> характеру.</w:t>
      </w:r>
    </w:p>
    <w:p w14:paraId="7F763B5C" w14:textId="77777777" w:rsidR="00F329EC" w:rsidRPr="00F329EC" w:rsidRDefault="00F329EC" w:rsidP="00F329EC">
      <w:pPr>
        <w:pStyle w:val="isselectedend"/>
        <w:spacing w:line="360" w:lineRule="auto"/>
        <w:ind w:firstLine="567"/>
        <w:jc w:val="both"/>
        <w:rPr>
          <w:sz w:val="28"/>
          <w:szCs w:val="28"/>
        </w:rPr>
      </w:pPr>
      <w:r w:rsidRPr="00F329EC">
        <w:rPr>
          <w:sz w:val="28"/>
          <w:szCs w:val="28"/>
        </w:rPr>
        <w:t xml:space="preserve">Отже, критерієм переходу від інтерпретації до співтворчості можна вважати </w:t>
      </w:r>
      <w:r w:rsidRPr="00F329EC">
        <w:rPr>
          <w:rStyle w:val="af5"/>
          <w:rFonts w:eastAsiaTheme="majorEastAsia"/>
          <w:b w:val="0"/>
          <w:sz w:val="28"/>
          <w:szCs w:val="28"/>
        </w:rPr>
        <w:t>структурну значущість виконавського рішення для формування конкретної реалізації твору</w:t>
      </w:r>
      <w:r w:rsidRPr="00F329EC">
        <w:rPr>
          <w:sz w:val="28"/>
          <w:szCs w:val="28"/>
        </w:rPr>
        <w:t xml:space="preserve">. При цьому співтворчість не означає перенесення </w:t>
      </w:r>
      <w:r w:rsidRPr="00F329EC">
        <w:rPr>
          <w:sz w:val="28"/>
          <w:szCs w:val="28"/>
        </w:rPr>
        <w:lastRenderedPageBreak/>
        <w:t>авторства від композитора до виконавця. Піаніст постає як суб’єкт творчості в межах композиційної системи: композитор формує музичний матеріал і поле можливостей, а виконавець бере активну участь у виборі та формуванні їх конкретної реалізації.</w:t>
      </w:r>
    </w:p>
    <w:p w14:paraId="3FA144AB" w14:textId="01EC5068" w:rsidR="00F329EC" w:rsidRPr="00F329EC" w:rsidRDefault="00F329EC" w:rsidP="00B15704">
      <w:pPr>
        <w:pStyle w:val="af6"/>
        <w:spacing w:line="360" w:lineRule="auto"/>
        <w:ind w:firstLine="567"/>
        <w:jc w:val="both"/>
        <w:rPr>
          <w:sz w:val="28"/>
          <w:szCs w:val="28"/>
        </w:rPr>
      </w:pPr>
      <w:r w:rsidRPr="00F329EC">
        <w:rPr>
          <w:sz w:val="28"/>
          <w:szCs w:val="28"/>
        </w:rPr>
        <w:t xml:space="preserve">Таким чином, зміна творчої ролі піаніста у музиці ХХ–ХХІ століть полягає не в заміні інтерпретації співтворчістю, а в розширенні функцій виконавця. </w:t>
      </w:r>
      <w:proofErr w:type="spellStart"/>
      <w:r w:rsidRPr="00F329EC">
        <w:rPr>
          <w:rStyle w:val="af4"/>
          <w:rFonts w:eastAsiaTheme="majorEastAsia"/>
          <w:sz w:val="28"/>
          <w:szCs w:val="28"/>
        </w:rPr>
        <w:t>Klavierstück</w:t>
      </w:r>
      <w:proofErr w:type="spellEnd"/>
      <w:r w:rsidRPr="00F329EC">
        <w:rPr>
          <w:rStyle w:val="af4"/>
          <w:rFonts w:eastAsiaTheme="majorEastAsia"/>
          <w:sz w:val="28"/>
          <w:szCs w:val="28"/>
        </w:rPr>
        <w:t xml:space="preserve"> XI</w:t>
      </w:r>
      <w:r w:rsidRPr="00F329EC">
        <w:rPr>
          <w:sz w:val="28"/>
          <w:szCs w:val="28"/>
        </w:rPr>
        <w:t xml:space="preserve"> К. </w:t>
      </w:r>
      <w:proofErr w:type="spellStart"/>
      <w:r w:rsidRPr="00F329EC">
        <w:rPr>
          <w:sz w:val="28"/>
          <w:szCs w:val="28"/>
        </w:rPr>
        <w:t>Штокгаузена</w:t>
      </w:r>
      <w:proofErr w:type="spellEnd"/>
      <w:r w:rsidRPr="00F329EC">
        <w:rPr>
          <w:sz w:val="28"/>
          <w:szCs w:val="28"/>
        </w:rPr>
        <w:t xml:space="preserve"> та </w:t>
      </w:r>
      <w:proofErr w:type="spellStart"/>
      <w:r w:rsidRPr="00F329EC">
        <w:rPr>
          <w:rStyle w:val="af4"/>
          <w:rFonts w:eastAsiaTheme="majorEastAsia"/>
          <w:sz w:val="28"/>
          <w:szCs w:val="28"/>
        </w:rPr>
        <w:t>Twenty-Five</w:t>
      </w:r>
      <w:proofErr w:type="spellEnd"/>
      <w:r w:rsidRPr="00F329EC">
        <w:rPr>
          <w:rStyle w:val="af4"/>
          <w:rFonts w:eastAsiaTheme="majorEastAsia"/>
          <w:sz w:val="28"/>
          <w:szCs w:val="28"/>
        </w:rPr>
        <w:t xml:space="preserve"> </w:t>
      </w:r>
      <w:proofErr w:type="spellStart"/>
      <w:r w:rsidRPr="00F329EC">
        <w:rPr>
          <w:rStyle w:val="af4"/>
          <w:rFonts w:eastAsiaTheme="majorEastAsia"/>
          <w:sz w:val="28"/>
          <w:szCs w:val="28"/>
        </w:rPr>
        <w:t>Pages</w:t>
      </w:r>
      <w:proofErr w:type="spellEnd"/>
      <w:r w:rsidRPr="00F329EC">
        <w:rPr>
          <w:sz w:val="28"/>
          <w:szCs w:val="28"/>
        </w:rPr>
        <w:t xml:space="preserve"> Е. Брауна демонструють різні способи делегування піаністові структурно значущих рішень при збереженні композитором авторства над загальною системою твору. У таких практиках піаніст виступає не лише як інтерпретатор нотного тексту, а як суб’єкт творчості, рішення якого безпосередньо впливають на формування конкретної музичної події.</w:t>
      </w:r>
    </w:p>
    <w:p w14:paraId="7FB32AA5" w14:textId="77777777" w:rsidR="00C1596F" w:rsidRPr="00F329EC" w:rsidRDefault="00C1596F" w:rsidP="00F329EC">
      <w:pPr>
        <w:jc w:val="center"/>
        <w:rPr>
          <w:rFonts w:ascii="Times New Roman" w:hAnsi="Times New Roman" w:cs="Times New Roman"/>
          <w:sz w:val="28"/>
          <w:szCs w:val="28"/>
          <w:lang w:val="ru-RU"/>
        </w:rPr>
      </w:pPr>
      <w:r w:rsidRPr="00F329EC">
        <w:rPr>
          <w:rFonts w:ascii="Times New Roman" w:hAnsi="Times New Roman" w:cs="Times New Roman"/>
          <w:b/>
          <w:bCs/>
          <w:sz w:val="28"/>
          <w:szCs w:val="28"/>
          <w:lang w:val="ru-RU"/>
        </w:rPr>
        <w:t xml:space="preserve">Список </w:t>
      </w:r>
      <w:proofErr w:type="spellStart"/>
      <w:r w:rsidRPr="00F329EC">
        <w:rPr>
          <w:rFonts w:ascii="Times New Roman" w:hAnsi="Times New Roman" w:cs="Times New Roman"/>
          <w:b/>
          <w:bCs/>
          <w:sz w:val="28"/>
          <w:szCs w:val="28"/>
          <w:lang w:val="ru-RU"/>
        </w:rPr>
        <w:t>використаних</w:t>
      </w:r>
      <w:proofErr w:type="spellEnd"/>
      <w:r w:rsidRPr="00F329EC">
        <w:rPr>
          <w:rFonts w:ascii="Times New Roman" w:hAnsi="Times New Roman" w:cs="Times New Roman"/>
          <w:b/>
          <w:bCs/>
          <w:sz w:val="28"/>
          <w:szCs w:val="28"/>
          <w:lang w:val="ru-RU"/>
        </w:rPr>
        <w:t xml:space="preserve"> </w:t>
      </w:r>
      <w:proofErr w:type="spellStart"/>
      <w:r w:rsidRPr="00F329EC">
        <w:rPr>
          <w:rFonts w:ascii="Times New Roman" w:hAnsi="Times New Roman" w:cs="Times New Roman"/>
          <w:b/>
          <w:bCs/>
          <w:sz w:val="28"/>
          <w:szCs w:val="28"/>
          <w:lang w:val="ru-RU"/>
        </w:rPr>
        <w:t>джерел</w:t>
      </w:r>
      <w:proofErr w:type="spellEnd"/>
    </w:p>
    <w:p w14:paraId="0D68CDAF" w14:textId="77777777" w:rsidR="00F329EC" w:rsidRPr="00F329EC" w:rsidRDefault="00F329EC" w:rsidP="00727C89">
      <w:pPr>
        <w:pStyle w:val="a9"/>
        <w:numPr>
          <w:ilvl w:val="0"/>
          <w:numId w:val="2"/>
        </w:numPr>
        <w:tabs>
          <w:tab w:val="left" w:pos="360"/>
        </w:tabs>
        <w:ind w:left="0" w:firstLine="0"/>
        <w:rPr>
          <w:rFonts w:ascii="Times New Roman" w:eastAsia="Times New Roman" w:hAnsi="Times New Roman" w:cs="Times New Roman"/>
          <w:sz w:val="28"/>
          <w:szCs w:val="28"/>
          <w:lang w:eastAsia="uk-UA"/>
        </w:rPr>
      </w:pPr>
      <w:proofErr w:type="spellStart"/>
      <w:r w:rsidRPr="00F329EC">
        <w:rPr>
          <w:rFonts w:ascii="Times New Roman" w:hAnsi="Times New Roman" w:cs="Times New Roman"/>
          <w:sz w:val="28"/>
          <w:szCs w:val="28"/>
        </w:rPr>
        <w:t>Cook</w:t>
      </w:r>
      <w:proofErr w:type="spellEnd"/>
      <w:r w:rsidRPr="00F329EC">
        <w:rPr>
          <w:rFonts w:ascii="Times New Roman" w:hAnsi="Times New Roman" w:cs="Times New Roman"/>
          <w:sz w:val="28"/>
          <w:szCs w:val="28"/>
        </w:rPr>
        <w:t xml:space="preserve"> N. </w:t>
      </w:r>
      <w:proofErr w:type="spellStart"/>
      <w:r w:rsidRPr="00F329EC">
        <w:rPr>
          <w:rStyle w:val="af4"/>
          <w:rFonts w:ascii="Times New Roman" w:hAnsi="Times New Roman" w:cs="Times New Roman"/>
          <w:sz w:val="28"/>
          <w:szCs w:val="28"/>
        </w:rPr>
        <w:t>Beyond</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the</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Score</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Music</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as</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Performance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New</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York</w:t>
      </w:r>
      <w:proofErr w:type="spellEnd"/>
      <w:r w:rsidRPr="00F329EC">
        <w:rPr>
          <w:rFonts w:ascii="Times New Roman" w:hAnsi="Times New Roman" w:cs="Times New Roman"/>
          <w:sz w:val="28"/>
          <w:szCs w:val="28"/>
        </w:rPr>
        <w:t xml:space="preserve"> : </w:t>
      </w:r>
      <w:proofErr w:type="spellStart"/>
      <w:r w:rsidRPr="00F329EC">
        <w:rPr>
          <w:rFonts w:ascii="Times New Roman" w:hAnsi="Times New Roman" w:cs="Times New Roman"/>
          <w:sz w:val="28"/>
          <w:szCs w:val="28"/>
        </w:rPr>
        <w:t>Oxford</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University</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Press</w:t>
      </w:r>
      <w:proofErr w:type="spellEnd"/>
      <w:r w:rsidRPr="00F329EC">
        <w:rPr>
          <w:rFonts w:ascii="Times New Roman" w:hAnsi="Times New Roman" w:cs="Times New Roman"/>
          <w:sz w:val="28"/>
          <w:szCs w:val="28"/>
        </w:rPr>
        <w:t>, 2013.</w:t>
      </w:r>
    </w:p>
    <w:p w14:paraId="78096B0E" w14:textId="77777777" w:rsidR="00F329EC" w:rsidRPr="00F329EC" w:rsidRDefault="00F329EC" w:rsidP="00727C89">
      <w:pPr>
        <w:pStyle w:val="a9"/>
        <w:numPr>
          <w:ilvl w:val="0"/>
          <w:numId w:val="2"/>
        </w:numPr>
        <w:tabs>
          <w:tab w:val="left" w:pos="360"/>
        </w:tabs>
        <w:ind w:left="0" w:firstLine="0"/>
        <w:rPr>
          <w:rFonts w:ascii="Times New Roman" w:eastAsia="Times New Roman" w:hAnsi="Times New Roman" w:cs="Times New Roman"/>
          <w:sz w:val="28"/>
          <w:szCs w:val="28"/>
          <w:lang w:eastAsia="uk-UA"/>
        </w:rPr>
      </w:pPr>
      <w:proofErr w:type="spellStart"/>
      <w:r w:rsidRPr="00F329EC">
        <w:rPr>
          <w:rFonts w:ascii="Times New Roman" w:hAnsi="Times New Roman" w:cs="Times New Roman"/>
          <w:sz w:val="28"/>
          <w:szCs w:val="28"/>
        </w:rPr>
        <w:t>Cook</w:t>
      </w:r>
      <w:proofErr w:type="spellEnd"/>
      <w:r w:rsidRPr="00F329EC">
        <w:rPr>
          <w:rFonts w:ascii="Times New Roman" w:hAnsi="Times New Roman" w:cs="Times New Roman"/>
          <w:sz w:val="28"/>
          <w:szCs w:val="28"/>
        </w:rPr>
        <w:t xml:space="preserve"> N. </w:t>
      </w:r>
      <w:proofErr w:type="spellStart"/>
      <w:r w:rsidRPr="00F329EC">
        <w:rPr>
          <w:rStyle w:val="af4"/>
          <w:rFonts w:ascii="Times New Roman" w:hAnsi="Times New Roman" w:cs="Times New Roman"/>
          <w:sz w:val="28"/>
          <w:szCs w:val="28"/>
        </w:rPr>
        <w:t>Music</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as</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Creative</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Practice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New</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York</w:t>
      </w:r>
      <w:proofErr w:type="spellEnd"/>
      <w:r w:rsidRPr="00F329EC">
        <w:rPr>
          <w:rFonts w:ascii="Times New Roman" w:hAnsi="Times New Roman" w:cs="Times New Roman"/>
          <w:sz w:val="28"/>
          <w:szCs w:val="28"/>
        </w:rPr>
        <w:t xml:space="preserve"> : </w:t>
      </w:r>
      <w:proofErr w:type="spellStart"/>
      <w:r w:rsidRPr="00F329EC">
        <w:rPr>
          <w:rFonts w:ascii="Times New Roman" w:hAnsi="Times New Roman" w:cs="Times New Roman"/>
          <w:sz w:val="28"/>
          <w:szCs w:val="28"/>
        </w:rPr>
        <w:t>Oxford</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University</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Press</w:t>
      </w:r>
      <w:proofErr w:type="spellEnd"/>
      <w:r w:rsidRPr="00F329EC">
        <w:rPr>
          <w:rFonts w:ascii="Times New Roman" w:hAnsi="Times New Roman" w:cs="Times New Roman"/>
          <w:sz w:val="28"/>
          <w:szCs w:val="28"/>
        </w:rPr>
        <w:t>, 2018.</w:t>
      </w:r>
    </w:p>
    <w:p w14:paraId="485AC5F8" w14:textId="77777777" w:rsidR="00F329EC" w:rsidRPr="00F329EC" w:rsidRDefault="00F329EC" w:rsidP="00727C89">
      <w:pPr>
        <w:pStyle w:val="a9"/>
        <w:numPr>
          <w:ilvl w:val="0"/>
          <w:numId w:val="2"/>
        </w:numPr>
        <w:tabs>
          <w:tab w:val="left" w:pos="360"/>
        </w:tabs>
        <w:ind w:left="0" w:firstLine="0"/>
        <w:rPr>
          <w:rFonts w:ascii="Times New Roman" w:eastAsia="Times New Roman" w:hAnsi="Times New Roman" w:cs="Times New Roman"/>
          <w:sz w:val="28"/>
          <w:szCs w:val="28"/>
          <w:lang w:eastAsia="uk-UA"/>
        </w:rPr>
      </w:pPr>
      <w:proofErr w:type="spellStart"/>
      <w:r w:rsidRPr="00F329EC">
        <w:rPr>
          <w:rFonts w:ascii="Times New Roman" w:hAnsi="Times New Roman" w:cs="Times New Roman"/>
          <w:sz w:val="28"/>
          <w:szCs w:val="28"/>
        </w:rPr>
        <w:t>Gresser</w:t>
      </w:r>
      <w:proofErr w:type="spellEnd"/>
      <w:r w:rsidRPr="00F329EC">
        <w:rPr>
          <w:rFonts w:ascii="Times New Roman" w:hAnsi="Times New Roman" w:cs="Times New Roman"/>
          <w:sz w:val="28"/>
          <w:szCs w:val="28"/>
        </w:rPr>
        <w:t xml:space="preserve"> C. </w:t>
      </w:r>
      <w:proofErr w:type="spellStart"/>
      <w:r w:rsidRPr="00F329EC">
        <w:rPr>
          <w:rFonts w:ascii="Times New Roman" w:hAnsi="Times New Roman" w:cs="Times New Roman"/>
          <w:sz w:val="28"/>
          <w:szCs w:val="28"/>
        </w:rPr>
        <w:t>Earle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Brown's</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Creative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Ambiguity</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and</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Ideas</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of</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Co-creatorship</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in</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Selected</w:t>
      </w:r>
      <w:proofErr w:type="spellEnd"/>
      <w:r w:rsidRPr="00F329EC">
        <w:rPr>
          <w:rFonts w:ascii="Times New Roman" w:hAnsi="Times New Roman" w:cs="Times New Roman"/>
          <w:sz w:val="28"/>
          <w:szCs w:val="28"/>
        </w:rPr>
        <w:t xml:space="preserve"> Works. </w:t>
      </w:r>
      <w:proofErr w:type="spellStart"/>
      <w:r w:rsidRPr="00F329EC">
        <w:rPr>
          <w:rStyle w:val="af4"/>
          <w:rFonts w:ascii="Times New Roman" w:hAnsi="Times New Roman" w:cs="Times New Roman"/>
          <w:sz w:val="28"/>
          <w:szCs w:val="28"/>
        </w:rPr>
        <w:t>Contemporary</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Music</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Review</w:t>
      </w:r>
      <w:proofErr w:type="spellEnd"/>
      <w:r w:rsidRPr="00F329EC">
        <w:rPr>
          <w:rFonts w:ascii="Times New Roman" w:hAnsi="Times New Roman" w:cs="Times New Roman"/>
          <w:sz w:val="28"/>
          <w:szCs w:val="28"/>
        </w:rPr>
        <w:t xml:space="preserve">. 2007. </w:t>
      </w:r>
      <w:proofErr w:type="spellStart"/>
      <w:r w:rsidRPr="00F329EC">
        <w:rPr>
          <w:rFonts w:ascii="Times New Roman" w:hAnsi="Times New Roman" w:cs="Times New Roman"/>
          <w:sz w:val="28"/>
          <w:szCs w:val="28"/>
        </w:rPr>
        <w:t>Vol</w:t>
      </w:r>
      <w:proofErr w:type="spellEnd"/>
      <w:r w:rsidRPr="00F329EC">
        <w:rPr>
          <w:rFonts w:ascii="Times New Roman" w:hAnsi="Times New Roman" w:cs="Times New Roman"/>
          <w:sz w:val="28"/>
          <w:szCs w:val="28"/>
        </w:rPr>
        <w:t xml:space="preserve">. 26, № 3–4. P. 377–394. DOI: </w:t>
      </w:r>
      <w:hyperlink r:id="rId9" w:history="1">
        <w:r w:rsidRPr="00F329EC">
          <w:rPr>
            <w:rStyle w:val="ae"/>
            <w:rFonts w:ascii="Times New Roman" w:hAnsi="Times New Roman" w:cs="Times New Roman"/>
            <w:sz w:val="28"/>
            <w:szCs w:val="28"/>
          </w:rPr>
          <w:t>https://doi.org/10.1080/07494460701414330</w:t>
        </w:r>
      </w:hyperlink>
      <w:r w:rsidRPr="00F329EC">
        <w:rPr>
          <w:rFonts w:ascii="Times New Roman" w:hAnsi="Times New Roman" w:cs="Times New Roman"/>
          <w:sz w:val="28"/>
          <w:szCs w:val="28"/>
        </w:rPr>
        <w:t>.</w:t>
      </w:r>
    </w:p>
    <w:p w14:paraId="61370791" w14:textId="77777777" w:rsidR="00F329EC" w:rsidRPr="00F329EC" w:rsidRDefault="00F329EC" w:rsidP="00727C89">
      <w:pPr>
        <w:pStyle w:val="a9"/>
        <w:numPr>
          <w:ilvl w:val="0"/>
          <w:numId w:val="2"/>
        </w:numPr>
        <w:tabs>
          <w:tab w:val="left" w:pos="360"/>
        </w:tabs>
        <w:ind w:left="0" w:firstLine="0"/>
        <w:rPr>
          <w:rFonts w:ascii="Times New Roman" w:eastAsia="Times New Roman" w:hAnsi="Times New Roman" w:cs="Times New Roman"/>
          <w:sz w:val="28"/>
          <w:szCs w:val="28"/>
          <w:lang w:eastAsia="uk-UA"/>
        </w:rPr>
      </w:pPr>
      <w:proofErr w:type="spellStart"/>
      <w:r w:rsidRPr="00F329EC">
        <w:rPr>
          <w:rFonts w:ascii="Times New Roman" w:hAnsi="Times New Roman" w:cs="Times New Roman"/>
          <w:sz w:val="28"/>
          <w:szCs w:val="28"/>
        </w:rPr>
        <w:t>Truelove</w:t>
      </w:r>
      <w:proofErr w:type="spellEnd"/>
      <w:r w:rsidRPr="00F329EC">
        <w:rPr>
          <w:rFonts w:ascii="Times New Roman" w:hAnsi="Times New Roman" w:cs="Times New Roman"/>
          <w:sz w:val="28"/>
          <w:szCs w:val="28"/>
        </w:rPr>
        <w:t xml:space="preserve"> S. </w:t>
      </w:r>
      <w:proofErr w:type="spellStart"/>
      <w:r w:rsidRPr="00F329EC">
        <w:rPr>
          <w:rFonts w:ascii="Times New Roman" w:hAnsi="Times New Roman" w:cs="Times New Roman"/>
          <w:sz w:val="28"/>
          <w:szCs w:val="28"/>
        </w:rPr>
        <w:t>The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Translation</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of</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Rhythm</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into</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Pitch</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in</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Stockhausen's</w:t>
      </w:r>
      <w:proofErr w:type="spellEnd"/>
      <w:r w:rsidRPr="00F329EC">
        <w:rPr>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Klavierstück</w:t>
      </w:r>
      <w:proofErr w:type="spellEnd"/>
      <w:r w:rsidRPr="00F329EC">
        <w:rPr>
          <w:rStyle w:val="af4"/>
          <w:rFonts w:ascii="Times New Roman" w:hAnsi="Times New Roman" w:cs="Times New Roman"/>
          <w:sz w:val="28"/>
          <w:szCs w:val="28"/>
        </w:rPr>
        <w:t xml:space="preserve"> XI</w:t>
      </w:r>
      <w:r w:rsidRPr="00F329EC">
        <w:rPr>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Perspectives</w:t>
      </w:r>
      <w:proofErr w:type="spellEnd"/>
      <w:r w:rsidRPr="00F329EC">
        <w:rPr>
          <w:rStyle w:val="af4"/>
          <w:rFonts w:ascii="Times New Roman" w:hAnsi="Times New Roman" w:cs="Times New Roman"/>
          <w:sz w:val="28"/>
          <w:szCs w:val="28"/>
        </w:rPr>
        <w:t xml:space="preserve"> of </w:t>
      </w:r>
      <w:proofErr w:type="spellStart"/>
      <w:r w:rsidRPr="00F329EC">
        <w:rPr>
          <w:rStyle w:val="af4"/>
          <w:rFonts w:ascii="Times New Roman" w:hAnsi="Times New Roman" w:cs="Times New Roman"/>
          <w:sz w:val="28"/>
          <w:szCs w:val="28"/>
        </w:rPr>
        <w:t>New</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Music</w:t>
      </w:r>
      <w:proofErr w:type="spellEnd"/>
      <w:r w:rsidRPr="00F329EC">
        <w:rPr>
          <w:rFonts w:ascii="Times New Roman" w:hAnsi="Times New Roman" w:cs="Times New Roman"/>
          <w:sz w:val="28"/>
          <w:szCs w:val="28"/>
        </w:rPr>
        <w:t xml:space="preserve">. 1998. </w:t>
      </w:r>
      <w:proofErr w:type="spellStart"/>
      <w:r w:rsidRPr="00F329EC">
        <w:rPr>
          <w:rFonts w:ascii="Times New Roman" w:hAnsi="Times New Roman" w:cs="Times New Roman"/>
          <w:sz w:val="28"/>
          <w:szCs w:val="28"/>
        </w:rPr>
        <w:t>Vol</w:t>
      </w:r>
      <w:proofErr w:type="spellEnd"/>
      <w:r w:rsidRPr="00F329EC">
        <w:rPr>
          <w:rFonts w:ascii="Times New Roman" w:hAnsi="Times New Roman" w:cs="Times New Roman"/>
          <w:sz w:val="28"/>
          <w:szCs w:val="28"/>
        </w:rPr>
        <w:t xml:space="preserve">. 36, № 1. P. 189–220. DOI: </w:t>
      </w:r>
      <w:hyperlink r:id="rId10" w:history="1">
        <w:r w:rsidRPr="00F329EC">
          <w:rPr>
            <w:rStyle w:val="ae"/>
            <w:rFonts w:ascii="Times New Roman" w:hAnsi="Times New Roman" w:cs="Times New Roman"/>
            <w:sz w:val="28"/>
            <w:szCs w:val="28"/>
          </w:rPr>
          <w:t>https://doi.org/10.2307/833580</w:t>
        </w:r>
      </w:hyperlink>
      <w:r w:rsidRPr="00F329EC">
        <w:rPr>
          <w:rFonts w:ascii="Times New Roman" w:hAnsi="Times New Roman" w:cs="Times New Roman"/>
          <w:sz w:val="28"/>
          <w:szCs w:val="28"/>
        </w:rPr>
        <w:t>.</w:t>
      </w:r>
    </w:p>
    <w:p w14:paraId="46E1BCDC" w14:textId="227584A8" w:rsidR="00E57674" w:rsidRPr="00F329EC" w:rsidRDefault="00F329EC" w:rsidP="00727C89">
      <w:pPr>
        <w:pStyle w:val="a9"/>
        <w:numPr>
          <w:ilvl w:val="0"/>
          <w:numId w:val="2"/>
        </w:numPr>
        <w:tabs>
          <w:tab w:val="left" w:pos="360"/>
        </w:tabs>
        <w:ind w:left="0" w:firstLine="0"/>
        <w:rPr>
          <w:rFonts w:ascii="Times New Roman" w:eastAsia="Times New Roman" w:hAnsi="Times New Roman" w:cs="Times New Roman"/>
          <w:sz w:val="28"/>
          <w:szCs w:val="28"/>
          <w:lang w:eastAsia="uk-UA"/>
        </w:rPr>
      </w:pPr>
      <w:proofErr w:type="spellStart"/>
      <w:r w:rsidRPr="00F329EC">
        <w:rPr>
          <w:rFonts w:ascii="Times New Roman" w:hAnsi="Times New Roman" w:cs="Times New Roman"/>
          <w:sz w:val="28"/>
          <w:szCs w:val="28"/>
        </w:rPr>
        <w:t>Earle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Brown</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Music</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Foundation</w:t>
      </w:r>
      <w:proofErr w:type="spellEnd"/>
      <w:r w:rsidRPr="00F329EC">
        <w:rPr>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Twenty-Five</w:t>
      </w:r>
      <w:proofErr w:type="spellEnd"/>
      <w:r w:rsidRPr="00F329EC">
        <w:rPr>
          <w:rStyle w:val="af4"/>
          <w:rFonts w:ascii="Times New Roman" w:hAnsi="Times New Roman" w:cs="Times New Roman"/>
          <w:sz w:val="28"/>
          <w:szCs w:val="28"/>
        </w:rPr>
        <w:t xml:space="preserve"> </w:t>
      </w:r>
      <w:proofErr w:type="spellStart"/>
      <w:r w:rsidRPr="00F329EC">
        <w:rPr>
          <w:rStyle w:val="af4"/>
          <w:rFonts w:ascii="Times New Roman" w:hAnsi="Times New Roman" w:cs="Times New Roman"/>
          <w:sz w:val="28"/>
          <w:szCs w:val="28"/>
        </w:rPr>
        <w:t>Pages</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Work</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description</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and</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performance</w:t>
      </w:r>
      <w:proofErr w:type="spellEnd"/>
      <w:r w:rsidRPr="00F329EC">
        <w:rPr>
          <w:rFonts w:ascii="Times New Roman" w:hAnsi="Times New Roman" w:cs="Times New Roman"/>
          <w:sz w:val="28"/>
          <w:szCs w:val="28"/>
        </w:rPr>
        <w:t xml:space="preserve"> </w:t>
      </w:r>
      <w:proofErr w:type="spellStart"/>
      <w:r w:rsidRPr="00F329EC">
        <w:rPr>
          <w:rFonts w:ascii="Times New Roman" w:hAnsi="Times New Roman" w:cs="Times New Roman"/>
          <w:sz w:val="28"/>
          <w:szCs w:val="28"/>
        </w:rPr>
        <w:t>instructions</w:t>
      </w:r>
      <w:proofErr w:type="spellEnd"/>
      <w:r w:rsidRPr="00F329EC">
        <w:rPr>
          <w:rFonts w:ascii="Times New Roman" w:hAnsi="Times New Roman" w:cs="Times New Roman"/>
          <w:sz w:val="28"/>
          <w:szCs w:val="28"/>
        </w:rPr>
        <w:t>.</w:t>
      </w:r>
      <w:r w:rsidR="007D0176">
        <w:rPr>
          <w:rFonts w:ascii="Times New Roman" w:hAnsi="Times New Roman" w:cs="Times New Roman"/>
          <w:sz w:val="28"/>
          <w:szCs w:val="28"/>
        </w:rPr>
        <w:t xml:space="preserve"> </w:t>
      </w:r>
      <w:r w:rsidR="007D0176">
        <w:rPr>
          <w:rFonts w:ascii="Times New Roman" w:hAnsi="Times New Roman" w:cs="Times New Roman"/>
          <w:sz w:val="28"/>
          <w:szCs w:val="28"/>
          <w:lang w:val="en-US"/>
        </w:rPr>
        <w:t xml:space="preserve">URL: </w:t>
      </w:r>
      <w:hyperlink r:id="rId11" w:history="1">
        <w:r w:rsidR="007D0176" w:rsidRPr="00531CE5">
          <w:rPr>
            <w:rStyle w:val="ae"/>
            <w:rFonts w:ascii="Times New Roman" w:hAnsi="Times New Roman" w:cs="Times New Roman"/>
            <w:sz w:val="28"/>
            <w:szCs w:val="28"/>
            <w:lang w:val="en-US"/>
          </w:rPr>
          <w:t>https://earle-brown.org/work/twenty-five-pages/?utm_source=chatgpt.com</w:t>
        </w:r>
      </w:hyperlink>
      <w:r w:rsidR="007D0176">
        <w:rPr>
          <w:rFonts w:ascii="Times New Roman" w:hAnsi="Times New Roman" w:cs="Times New Roman"/>
          <w:sz w:val="28"/>
          <w:szCs w:val="28"/>
          <w:lang w:val="en-US"/>
        </w:rPr>
        <w:t xml:space="preserve"> (</w:t>
      </w:r>
      <w:r w:rsidR="007D0176">
        <w:rPr>
          <w:rFonts w:ascii="Times New Roman" w:hAnsi="Times New Roman" w:cs="Times New Roman"/>
          <w:sz w:val="28"/>
          <w:szCs w:val="28"/>
        </w:rPr>
        <w:t>дата звернення 10.08.2026</w:t>
      </w:r>
      <w:r w:rsidR="007D0176">
        <w:rPr>
          <w:rFonts w:ascii="Times New Roman" w:hAnsi="Times New Roman" w:cs="Times New Roman"/>
          <w:sz w:val="28"/>
          <w:szCs w:val="28"/>
          <w:lang w:val="en-US"/>
        </w:rPr>
        <w:t>)</w:t>
      </w:r>
    </w:p>
    <w:sectPr w:rsidR="00E57674" w:rsidRPr="00F329EC">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5FBAB" w14:textId="77777777" w:rsidR="0069670A" w:rsidRDefault="0069670A" w:rsidP="00C1596F">
      <w:pPr>
        <w:spacing w:after="0" w:line="240" w:lineRule="auto"/>
      </w:pPr>
      <w:r>
        <w:separator/>
      </w:r>
    </w:p>
  </w:endnote>
  <w:endnote w:type="continuationSeparator" w:id="0">
    <w:p w14:paraId="585BF423" w14:textId="77777777" w:rsidR="0069670A" w:rsidRDefault="0069670A" w:rsidP="00C15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366334"/>
      <w:docPartObj>
        <w:docPartGallery w:val="Page Numbers (Bottom of Page)"/>
        <w:docPartUnique/>
      </w:docPartObj>
    </w:sdtPr>
    <w:sdtContent>
      <w:p w14:paraId="37AA8FE3" w14:textId="40515D5D" w:rsidR="00C1596F" w:rsidRDefault="00C1596F">
        <w:pPr>
          <w:pStyle w:val="af1"/>
          <w:jc w:val="right"/>
        </w:pPr>
        <w:r>
          <w:fldChar w:fldCharType="begin"/>
        </w:r>
        <w:r>
          <w:instrText>PAGE   \* MERGEFORMAT</w:instrText>
        </w:r>
        <w:r>
          <w:fldChar w:fldCharType="separate"/>
        </w:r>
        <w:r>
          <w:t>2</w:t>
        </w:r>
        <w:r>
          <w:fldChar w:fldCharType="end"/>
        </w:r>
      </w:p>
    </w:sdtContent>
  </w:sdt>
  <w:p w14:paraId="1E52F5D8" w14:textId="77777777" w:rsidR="00C1596F" w:rsidRDefault="00C1596F">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1467B" w14:textId="77777777" w:rsidR="0069670A" w:rsidRDefault="0069670A" w:rsidP="00C1596F">
      <w:pPr>
        <w:spacing w:after="0" w:line="240" w:lineRule="auto"/>
      </w:pPr>
      <w:r>
        <w:separator/>
      </w:r>
    </w:p>
  </w:footnote>
  <w:footnote w:type="continuationSeparator" w:id="0">
    <w:p w14:paraId="03432ED5" w14:textId="77777777" w:rsidR="0069670A" w:rsidRDefault="0069670A" w:rsidP="00C15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0138"/>
    <w:multiLevelType w:val="hybridMultilevel"/>
    <w:tmpl w:val="AE8CD18A"/>
    <w:lvl w:ilvl="0" w:tplc="EF08B4F6">
      <w:start w:val="1"/>
      <w:numFmt w:val="decimal"/>
      <w:lvlText w:val="%1."/>
      <w:lvlJc w:val="left"/>
      <w:pPr>
        <w:ind w:left="720" w:hanging="360"/>
      </w:pPr>
      <w:rPr>
        <w:rFonts w:eastAsiaTheme="minorEastAsia"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3402C8C"/>
    <w:multiLevelType w:val="multilevel"/>
    <w:tmpl w:val="58FC3F38"/>
    <w:lvl w:ilvl="0">
      <w:start w:val="1"/>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num w:numId="1" w16cid:durableId="627399875">
    <w:abstractNumId w:val="1"/>
  </w:num>
  <w:num w:numId="2" w16cid:durableId="2248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D49"/>
    <w:rsid w:val="00005320"/>
    <w:rsid w:val="00012DFA"/>
    <w:rsid w:val="00025492"/>
    <w:rsid w:val="00043800"/>
    <w:rsid w:val="00043E25"/>
    <w:rsid w:val="00044B8C"/>
    <w:rsid w:val="000607B4"/>
    <w:rsid w:val="00063D06"/>
    <w:rsid w:val="0006569B"/>
    <w:rsid w:val="000805F8"/>
    <w:rsid w:val="00083F0A"/>
    <w:rsid w:val="000D6EC2"/>
    <w:rsid w:val="001052DC"/>
    <w:rsid w:val="00116D1F"/>
    <w:rsid w:val="00131425"/>
    <w:rsid w:val="00135E23"/>
    <w:rsid w:val="00161F7E"/>
    <w:rsid w:val="00165D49"/>
    <w:rsid w:val="00174A7C"/>
    <w:rsid w:val="00180456"/>
    <w:rsid w:val="001936AD"/>
    <w:rsid w:val="001A3F8B"/>
    <w:rsid w:val="001B053E"/>
    <w:rsid w:val="001B31EA"/>
    <w:rsid w:val="001B38FC"/>
    <w:rsid w:val="001C3534"/>
    <w:rsid w:val="001D0687"/>
    <w:rsid w:val="001F4C19"/>
    <w:rsid w:val="001F6684"/>
    <w:rsid w:val="00205152"/>
    <w:rsid w:val="002052FE"/>
    <w:rsid w:val="00212870"/>
    <w:rsid w:val="00213000"/>
    <w:rsid w:val="00237507"/>
    <w:rsid w:val="002500E4"/>
    <w:rsid w:val="00252944"/>
    <w:rsid w:val="002533A0"/>
    <w:rsid w:val="00263864"/>
    <w:rsid w:val="0029147A"/>
    <w:rsid w:val="002A3966"/>
    <w:rsid w:val="002B2E13"/>
    <w:rsid w:val="002D690C"/>
    <w:rsid w:val="002E678A"/>
    <w:rsid w:val="002F500A"/>
    <w:rsid w:val="003111C7"/>
    <w:rsid w:val="003235E4"/>
    <w:rsid w:val="00335CDC"/>
    <w:rsid w:val="00341911"/>
    <w:rsid w:val="0038594A"/>
    <w:rsid w:val="0038784A"/>
    <w:rsid w:val="003924D3"/>
    <w:rsid w:val="003A6E4F"/>
    <w:rsid w:val="003B2B80"/>
    <w:rsid w:val="003B35E3"/>
    <w:rsid w:val="003C7C23"/>
    <w:rsid w:val="003E3757"/>
    <w:rsid w:val="003F309A"/>
    <w:rsid w:val="00405FF8"/>
    <w:rsid w:val="004217C5"/>
    <w:rsid w:val="00421A23"/>
    <w:rsid w:val="00430ED5"/>
    <w:rsid w:val="004349BF"/>
    <w:rsid w:val="0044062D"/>
    <w:rsid w:val="00446B6F"/>
    <w:rsid w:val="004516AC"/>
    <w:rsid w:val="00466D61"/>
    <w:rsid w:val="004955C0"/>
    <w:rsid w:val="004A2B9E"/>
    <w:rsid w:val="004C3221"/>
    <w:rsid w:val="004F2A79"/>
    <w:rsid w:val="00513483"/>
    <w:rsid w:val="005135AE"/>
    <w:rsid w:val="0052138A"/>
    <w:rsid w:val="00535D60"/>
    <w:rsid w:val="005467E4"/>
    <w:rsid w:val="005475DD"/>
    <w:rsid w:val="00567E0E"/>
    <w:rsid w:val="00594C6E"/>
    <w:rsid w:val="005A6764"/>
    <w:rsid w:val="005D79FC"/>
    <w:rsid w:val="005F6156"/>
    <w:rsid w:val="00604D08"/>
    <w:rsid w:val="00614E34"/>
    <w:rsid w:val="006163A4"/>
    <w:rsid w:val="00623173"/>
    <w:rsid w:val="00625BC6"/>
    <w:rsid w:val="00654FAE"/>
    <w:rsid w:val="0065673D"/>
    <w:rsid w:val="00662F29"/>
    <w:rsid w:val="00676259"/>
    <w:rsid w:val="0069670A"/>
    <w:rsid w:val="006B023F"/>
    <w:rsid w:val="006B22B4"/>
    <w:rsid w:val="006E3978"/>
    <w:rsid w:val="006F6584"/>
    <w:rsid w:val="00706CEE"/>
    <w:rsid w:val="00727C89"/>
    <w:rsid w:val="00746DC9"/>
    <w:rsid w:val="00754016"/>
    <w:rsid w:val="00761C05"/>
    <w:rsid w:val="00763CC4"/>
    <w:rsid w:val="00783513"/>
    <w:rsid w:val="007840BA"/>
    <w:rsid w:val="00785C20"/>
    <w:rsid w:val="007B0041"/>
    <w:rsid w:val="007B1E4E"/>
    <w:rsid w:val="007D0176"/>
    <w:rsid w:val="007D15A9"/>
    <w:rsid w:val="007D2410"/>
    <w:rsid w:val="007E2F53"/>
    <w:rsid w:val="007E4BBD"/>
    <w:rsid w:val="007E6610"/>
    <w:rsid w:val="00855EE5"/>
    <w:rsid w:val="0086210E"/>
    <w:rsid w:val="00862D07"/>
    <w:rsid w:val="008665F6"/>
    <w:rsid w:val="00874678"/>
    <w:rsid w:val="00876D0C"/>
    <w:rsid w:val="008776DC"/>
    <w:rsid w:val="008B2172"/>
    <w:rsid w:val="008B777C"/>
    <w:rsid w:val="008C2FC7"/>
    <w:rsid w:val="008D41AC"/>
    <w:rsid w:val="0090075B"/>
    <w:rsid w:val="009011D9"/>
    <w:rsid w:val="00905DBC"/>
    <w:rsid w:val="00912651"/>
    <w:rsid w:val="00920220"/>
    <w:rsid w:val="00921CFC"/>
    <w:rsid w:val="009312ED"/>
    <w:rsid w:val="00931B5C"/>
    <w:rsid w:val="009502C1"/>
    <w:rsid w:val="00964DC6"/>
    <w:rsid w:val="00976E28"/>
    <w:rsid w:val="0098465E"/>
    <w:rsid w:val="009873F0"/>
    <w:rsid w:val="009903B7"/>
    <w:rsid w:val="009A062E"/>
    <w:rsid w:val="009A1769"/>
    <w:rsid w:val="009A326E"/>
    <w:rsid w:val="009A3E1A"/>
    <w:rsid w:val="009A7CB4"/>
    <w:rsid w:val="009B1B04"/>
    <w:rsid w:val="009C16E9"/>
    <w:rsid w:val="009C6161"/>
    <w:rsid w:val="009D1158"/>
    <w:rsid w:val="009D150F"/>
    <w:rsid w:val="00A13795"/>
    <w:rsid w:val="00A2582E"/>
    <w:rsid w:val="00A40563"/>
    <w:rsid w:val="00A43FF0"/>
    <w:rsid w:val="00A5675B"/>
    <w:rsid w:val="00A61C92"/>
    <w:rsid w:val="00A66EBC"/>
    <w:rsid w:val="00A81719"/>
    <w:rsid w:val="00A95FBF"/>
    <w:rsid w:val="00AA5717"/>
    <w:rsid w:val="00AD731E"/>
    <w:rsid w:val="00AF7B22"/>
    <w:rsid w:val="00B058C8"/>
    <w:rsid w:val="00B15704"/>
    <w:rsid w:val="00B169BC"/>
    <w:rsid w:val="00B267A1"/>
    <w:rsid w:val="00B53D20"/>
    <w:rsid w:val="00B93328"/>
    <w:rsid w:val="00B95653"/>
    <w:rsid w:val="00BE02EB"/>
    <w:rsid w:val="00C07C07"/>
    <w:rsid w:val="00C1596F"/>
    <w:rsid w:val="00C21CFB"/>
    <w:rsid w:val="00C3698C"/>
    <w:rsid w:val="00C404F1"/>
    <w:rsid w:val="00C4055A"/>
    <w:rsid w:val="00C50EF0"/>
    <w:rsid w:val="00C54229"/>
    <w:rsid w:val="00C80010"/>
    <w:rsid w:val="00C82112"/>
    <w:rsid w:val="00CC2618"/>
    <w:rsid w:val="00CC7355"/>
    <w:rsid w:val="00CD6B29"/>
    <w:rsid w:val="00CD7F65"/>
    <w:rsid w:val="00CE215C"/>
    <w:rsid w:val="00CE6D1E"/>
    <w:rsid w:val="00CE7645"/>
    <w:rsid w:val="00CF24F5"/>
    <w:rsid w:val="00CF40A8"/>
    <w:rsid w:val="00D10874"/>
    <w:rsid w:val="00D26A67"/>
    <w:rsid w:val="00D34E24"/>
    <w:rsid w:val="00D46D9D"/>
    <w:rsid w:val="00D70A5B"/>
    <w:rsid w:val="00D73FE8"/>
    <w:rsid w:val="00D95727"/>
    <w:rsid w:val="00D95B17"/>
    <w:rsid w:val="00DB1B00"/>
    <w:rsid w:val="00DC1085"/>
    <w:rsid w:val="00DD4E5B"/>
    <w:rsid w:val="00DE194C"/>
    <w:rsid w:val="00DE257C"/>
    <w:rsid w:val="00DE7F8F"/>
    <w:rsid w:val="00DF370C"/>
    <w:rsid w:val="00E12EAE"/>
    <w:rsid w:val="00E2705D"/>
    <w:rsid w:val="00E53E92"/>
    <w:rsid w:val="00E57674"/>
    <w:rsid w:val="00E647F3"/>
    <w:rsid w:val="00E7342F"/>
    <w:rsid w:val="00E82D1C"/>
    <w:rsid w:val="00E834AD"/>
    <w:rsid w:val="00E87B1C"/>
    <w:rsid w:val="00EB3B32"/>
    <w:rsid w:val="00ED2A86"/>
    <w:rsid w:val="00EE5B4F"/>
    <w:rsid w:val="00F101D1"/>
    <w:rsid w:val="00F20D1F"/>
    <w:rsid w:val="00F229EB"/>
    <w:rsid w:val="00F308ED"/>
    <w:rsid w:val="00F329EC"/>
    <w:rsid w:val="00F359A6"/>
    <w:rsid w:val="00F44D17"/>
    <w:rsid w:val="00F52162"/>
    <w:rsid w:val="00F62991"/>
    <w:rsid w:val="00F6358B"/>
    <w:rsid w:val="00F71B70"/>
    <w:rsid w:val="00F74118"/>
    <w:rsid w:val="00F87C03"/>
    <w:rsid w:val="00F9271A"/>
    <w:rsid w:val="00FA767F"/>
    <w:rsid w:val="00FC133C"/>
    <w:rsid w:val="00FE2ED3"/>
    <w:rsid w:val="00FE7A51"/>
    <w:rsid w:val="00FF5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142F1"/>
  <w15:chartTrackingRefBased/>
  <w15:docId w15:val="{2CFBD136-DDF9-4755-8F1D-DD106031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96F"/>
    <w:rPr>
      <w:rFonts w:eastAsiaTheme="minorEastAsia"/>
      <w:lang w:val="uk-UA" w:eastAsia="ja-JP"/>
    </w:rPr>
  </w:style>
  <w:style w:type="paragraph" w:styleId="1">
    <w:name w:val="heading 1"/>
    <w:basedOn w:val="a"/>
    <w:next w:val="a"/>
    <w:link w:val="10"/>
    <w:uiPriority w:val="9"/>
    <w:qFormat/>
    <w:rsid w:val="00165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65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65D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65D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65D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65D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5D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5D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5D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5D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65D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65D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65D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65D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65D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5D49"/>
    <w:rPr>
      <w:rFonts w:eastAsiaTheme="majorEastAsia" w:cstheme="majorBidi"/>
      <w:color w:val="595959" w:themeColor="text1" w:themeTint="A6"/>
    </w:rPr>
  </w:style>
  <w:style w:type="character" w:customStyle="1" w:styleId="80">
    <w:name w:val="Заголовок 8 Знак"/>
    <w:basedOn w:val="a0"/>
    <w:link w:val="8"/>
    <w:uiPriority w:val="9"/>
    <w:semiHidden/>
    <w:rsid w:val="00165D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5D49"/>
    <w:rPr>
      <w:rFonts w:eastAsiaTheme="majorEastAsia" w:cstheme="majorBidi"/>
      <w:color w:val="272727" w:themeColor="text1" w:themeTint="D8"/>
    </w:rPr>
  </w:style>
  <w:style w:type="paragraph" w:styleId="a3">
    <w:name w:val="Title"/>
    <w:basedOn w:val="a"/>
    <w:next w:val="a"/>
    <w:link w:val="a4"/>
    <w:uiPriority w:val="10"/>
    <w:qFormat/>
    <w:rsid w:val="00165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65D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5D4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65D4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65D49"/>
    <w:pPr>
      <w:spacing w:before="160"/>
      <w:jc w:val="center"/>
    </w:pPr>
    <w:rPr>
      <w:i/>
      <w:iCs/>
      <w:color w:val="404040" w:themeColor="text1" w:themeTint="BF"/>
    </w:rPr>
  </w:style>
  <w:style w:type="character" w:customStyle="1" w:styleId="a8">
    <w:name w:val="Цитата Знак"/>
    <w:basedOn w:val="a0"/>
    <w:link w:val="a7"/>
    <w:uiPriority w:val="29"/>
    <w:rsid w:val="00165D49"/>
    <w:rPr>
      <w:i/>
      <w:iCs/>
      <w:color w:val="404040" w:themeColor="text1" w:themeTint="BF"/>
    </w:rPr>
  </w:style>
  <w:style w:type="paragraph" w:styleId="a9">
    <w:name w:val="List Paragraph"/>
    <w:basedOn w:val="a"/>
    <w:uiPriority w:val="34"/>
    <w:qFormat/>
    <w:rsid w:val="00165D49"/>
    <w:pPr>
      <w:ind w:left="720"/>
      <w:contextualSpacing/>
    </w:pPr>
  </w:style>
  <w:style w:type="character" w:styleId="aa">
    <w:name w:val="Intense Emphasis"/>
    <w:basedOn w:val="a0"/>
    <w:uiPriority w:val="21"/>
    <w:qFormat/>
    <w:rsid w:val="00165D49"/>
    <w:rPr>
      <w:i/>
      <w:iCs/>
      <w:color w:val="0F4761" w:themeColor="accent1" w:themeShade="BF"/>
    </w:rPr>
  </w:style>
  <w:style w:type="paragraph" w:styleId="ab">
    <w:name w:val="Intense Quote"/>
    <w:basedOn w:val="a"/>
    <w:next w:val="a"/>
    <w:link w:val="ac"/>
    <w:uiPriority w:val="30"/>
    <w:qFormat/>
    <w:rsid w:val="00165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65D49"/>
    <w:rPr>
      <w:i/>
      <w:iCs/>
      <w:color w:val="0F4761" w:themeColor="accent1" w:themeShade="BF"/>
    </w:rPr>
  </w:style>
  <w:style w:type="character" w:styleId="ad">
    <w:name w:val="Intense Reference"/>
    <w:basedOn w:val="a0"/>
    <w:uiPriority w:val="32"/>
    <w:qFormat/>
    <w:rsid w:val="00165D49"/>
    <w:rPr>
      <w:b/>
      <w:bCs/>
      <w:smallCaps/>
      <w:color w:val="0F4761" w:themeColor="accent1" w:themeShade="BF"/>
      <w:spacing w:val="5"/>
    </w:rPr>
  </w:style>
  <w:style w:type="character" w:styleId="ae">
    <w:name w:val="Hyperlink"/>
    <w:basedOn w:val="a0"/>
    <w:uiPriority w:val="99"/>
    <w:unhideWhenUsed/>
    <w:rsid w:val="00C1596F"/>
    <w:rPr>
      <w:color w:val="467886" w:themeColor="hyperlink"/>
      <w:u w:val="single"/>
    </w:rPr>
  </w:style>
  <w:style w:type="paragraph" w:styleId="af">
    <w:name w:val="header"/>
    <w:basedOn w:val="a"/>
    <w:link w:val="af0"/>
    <w:uiPriority w:val="99"/>
    <w:unhideWhenUsed/>
    <w:rsid w:val="00C1596F"/>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C1596F"/>
    <w:rPr>
      <w:rFonts w:eastAsiaTheme="minorEastAsia"/>
      <w:lang w:val="uk-UA" w:eastAsia="ja-JP"/>
    </w:rPr>
  </w:style>
  <w:style w:type="paragraph" w:styleId="af1">
    <w:name w:val="footer"/>
    <w:basedOn w:val="a"/>
    <w:link w:val="af2"/>
    <w:uiPriority w:val="99"/>
    <w:unhideWhenUsed/>
    <w:rsid w:val="00C1596F"/>
    <w:pPr>
      <w:tabs>
        <w:tab w:val="center" w:pos="4677"/>
        <w:tab w:val="right" w:pos="9355"/>
      </w:tabs>
      <w:spacing w:after="0" w:line="240" w:lineRule="auto"/>
    </w:pPr>
  </w:style>
  <w:style w:type="character" w:customStyle="1" w:styleId="af2">
    <w:name w:val="Нижній колонтитул Знак"/>
    <w:basedOn w:val="a0"/>
    <w:link w:val="af1"/>
    <w:uiPriority w:val="99"/>
    <w:rsid w:val="00C1596F"/>
    <w:rPr>
      <w:rFonts w:eastAsiaTheme="minorEastAsia"/>
      <w:lang w:val="uk-UA" w:eastAsia="ja-JP"/>
    </w:rPr>
  </w:style>
  <w:style w:type="character" w:styleId="af3">
    <w:name w:val="Unresolved Mention"/>
    <w:basedOn w:val="a0"/>
    <w:uiPriority w:val="99"/>
    <w:semiHidden/>
    <w:unhideWhenUsed/>
    <w:rsid w:val="00C1596F"/>
    <w:rPr>
      <w:color w:val="605E5C"/>
      <w:shd w:val="clear" w:color="auto" w:fill="E1DFDD"/>
    </w:rPr>
  </w:style>
  <w:style w:type="paragraph" w:customStyle="1" w:styleId="isselectedend">
    <w:name w:val="isselectedend"/>
    <w:basedOn w:val="a"/>
    <w:rsid w:val="00F329EC"/>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4">
    <w:name w:val="Emphasis"/>
    <w:basedOn w:val="a0"/>
    <w:uiPriority w:val="20"/>
    <w:qFormat/>
    <w:rsid w:val="00F329EC"/>
    <w:rPr>
      <w:i/>
      <w:iCs/>
    </w:rPr>
  </w:style>
  <w:style w:type="character" w:customStyle="1" w:styleId="text-token-text-primary">
    <w:name w:val="text-token-text-primary"/>
    <w:basedOn w:val="a0"/>
    <w:rsid w:val="00F329EC"/>
  </w:style>
  <w:style w:type="character" w:styleId="af5">
    <w:name w:val="Strong"/>
    <w:basedOn w:val="a0"/>
    <w:uiPriority w:val="22"/>
    <w:qFormat/>
    <w:rsid w:val="00F329EC"/>
    <w:rPr>
      <w:b/>
      <w:bCs/>
    </w:rPr>
  </w:style>
  <w:style w:type="paragraph" w:styleId="af6">
    <w:name w:val="Normal (Web)"/>
    <w:basedOn w:val="a"/>
    <w:uiPriority w:val="99"/>
    <w:unhideWhenUsed/>
    <w:rsid w:val="00F329EC"/>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8971">
      <w:bodyDiv w:val="1"/>
      <w:marLeft w:val="0"/>
      <w:marRight w:val="0"/>
      <w:marTop w:val="0"/>
      <w:marBottom w:val="0"/>
      <w:divBdr>
        <w:top w:val="none" w:sz="0" w:space="0" w:color="auto"/>
        <w:left w:val="none" w:sz="0" w:space="0" w:color="auto"/>
        <w:bottom w:val="none" w:sz="0" w:space="0" w:color="auto"/>
        <w:right w:val="none" w:sz="0" w:space="0" w:color="auto"/>
      </w:divBdr>
    </w:div>
    <w:div w:id="490561004">
      <w:bodyDiv w:val="1"/>
      <w:marLeft w:val="0"/>
      <w:marRight w:val="0"/>
      <w:marTop w:val="0"/>
      <w:marBottom w:val="0"/>
      <w:divBdr>
        <w:top w:val="none" w:sz="0" w:space="0" w:color="auto"/>
        <w:left w:val="none" w:sz="0" w:space="0" w:color="auto"/>
        <w:bottom w:val="none" w:sz="0" w:space="0" w:color="auto"/>
        <w:right w:val="none" w:sz="0" w:space="0" w:color="auto"/>
      </w:divBdr>
    </w:div>
    <w:div w:id="534118960">
      <w:bodyDiv w:val="1"/>
      <w:marLeft w:val="0"/>
      <w:marRight w:val="0"/>
      <w:marTop w:val="0"/>
      <w:marBottom w:val="0"/>
      <w:divBdr>
        <w:top w:val="none" w:sz="0" w:space="0" w:color="auto"/>
        <w:left w:val="none" w:sz="0" w:space="0" w:color="auto"/>
        <w:bottom w:val="none" w:sz="0" w:space="0" w:color="auto"/>
        <w:right w:val="none" w:sz="0" w:space="0" w:color="auto"/>
      </w:divBdr>
    </w:div>
    <w:div w:id="1076129870">
      <w:bodyDiv w:val="1"/>
      <w:marLeft w:val="0"/>
      <w:marRight w:val="0"/>
      <w:marTop w:val="0"/>
      <w:marBottom w:val="0"/>
      <w:divBdr>
        <w:top w:val="none" w:sz="0" w:space="0" w:color="auto"/>
        <w:left w:val="none" w:sz="0" w:space="0" w:color="auto"/>
        <w:bottom w:val="none" w:sz="0" w:space="0" w:color="auto"/>
        <w:right w:val="none" w:sz="0" w:space="0" w:color="auto"/>
      </w:divBdr>
    </w:div>
    <w:div w:id="1488403894">
      <w:bodyDiv w:val="1"/>
      <w:marLeft w:val="0"/>
      <w:marRight w:val="0"/>
      <w:marTop w:val="0"/>
      <w:marBottom w:val="0"/>
      <w:divBdr>
        <w:top w:val="none" w:sz="0" w:space="0" w:color="auto"/>
        <w:left w:val="none" w:sz="0" w:space="0" w:color="auto"/>
        <w:bottom w:val="none" w:sz="0" w:space="0" w:color="auto"/>
        <w:right w:val="none" w:sz="0" w:space="0" w:color="auto"/>
      </w:divBdr>
    </w:div>
    <w:div w:id="1676615948">
      <w:bodyDiv w:val="1"/>
      <w:marLeft w:val="0"/>
      <w:marRight w:val="0"/>
      <w:marTop w:val="0"/>
      <w:marBottom w:val="0"/>
      <w:divBdr>
        <w:top w:val="none" w:sz="0" w:space="0" w:color="auto"/>
        <w:left w:val="none" w:sz="0" w:space="0" w:color="auto"/>
        <w:bottom w:val="none" w:sz="0" w:space="0" w:color="auto"/>
        <w:right w:val="none" w:sz="0" w:space="0" w:color="auto"/>
      </w:divBdr>
    </w:div>
    <w:div w:id="214349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usirui009@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le-brown.org/work/twenty-five-pages/?utm_source=chatgpt.com" TargetMode="External"/><Relationship Id="rId5" Type="http://schemas.openxmlformats.org/officeDocument/2006/relationships/webSettings" Target="webSettings.xml"/><Relationship Id="rId10" Type="http://schemas.openxmlformats.org/officeDocument/2006/relationships/hyperlink" Target="https://doi.org/10.2307/833580" TargetMode="External"/><Relationship Id="rId4" Type="http://schemas.openxmlformats.org/officeDocument/2006/relationships/settings" Target="settings.xml"/><Relationship Id="rId9" Type="http://schemas.openxmlformats.org/officeDocument/2006/relationships/hyperlink" Target="https://doi.org/10.1080/074944607014143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454D1-5952-4A0B-944B-BA196507C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1380</Words>
  <Characters>7870</Characters>
  <Application>Microsoft Office Word</Application>
  <DocSecurity>0</DocSecurity>
  <Lines>65</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2026-08-10T21:11:00Z</dcterms:created>
  <dcterms:modified xsi:type="dcterms:W3CDTF">2026-08-16T07:44:00Z</dcterms:modified>
</cp:coreProperties>
</file>