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F0C" w:rsidRPr="00531211" w:rsidRDefault="00791F0C" w:rsidP="00791F0C">
      <w:pPr>
        <w:spacing w:after="0" w:line="360" w:lineRule="auto"/>
        <w:jc w:val="both"/>
        <w:rPr>
          <w:rFonts w:ascii="Times New Roman" w:eastAsia="Calibri" w:hAnsi="Times New Roman" w:cs="Times New Roman"/>
          <w:i/>
          <w:sz w:val="28"/>
          <w:szCs w:val="28"/>
        </w:rPr>
      </w:pPr>
    </w:p>
    <w:p w:rsidR="00791F0C" w:rsidRPr="00531211" w:rsidRDefault="00791F0C" w:rsidP="00791F0C">
      <w:pPr>
        <w:spacing w:after="0" w:line="360" w:lineRule="auto"/>
        <w:rPr>
          <w:rFonts w:ascii="Times New Roman" w:eastAsia="Times New Roman" w:hAnsi="Times New Roman" w:cs="Times New Roman"/>
          <w:b/>
          <w:sz w:val="28"/>
          <w:szCs w:val="28"/>
        </w:rPr>
      </w:pPr>
      <w:r w:rsidRPr="00531211">
        <w:rPr>
          <w:rFonts w:ascii="Times New Roman" w:eastAsia="Times New Roman" w:hAnsi="Times New Roman" w:cs="Times New Roman"/>
          <w:b/>
          <w:sz w:val="28"/>
          <w:szCs w:val="28"/>
        </w:rPr>
        <w:t>Солоіденко Галина Іванівна,</w:t>
      </w:r>
    </w:p>
    <w:p w:rsidR="00791F0C" w:rsidRPr="00531211" w:rsidRDefault="00656CA4" w:rsidP="00791F0C">
      <w:pPr>
        <w:spacing w:after="0" w:line="360" w:lineRule="auto"/>
        <w:jc w:val="both"/>
        <w:rPr>
          <w:rFonts w:ascii="Times New Roman" w:eastAsia="Times New Roman" w:hAnsi="Times New Roman" w:cs="Times New Roman"/>
          <w:sz w:val="28"/>
          <w:szCs w:val="28"/>
        </w:rPr>
      </w:pPr>
      <w:hyperlink r:id="rId4" w:history="1">
        <w:r w:rsidR="00791F0C" w:rsidRPr="00531211">
          <w:rPr>
            <w:rStyle w:val="a3"/>
            <w:rFonts w:ascii="Times New Roman" w:eastAsia="Times New Roman" w:hAnsi="Times New Roman"/>
            <w:sz w:val="28"/>
            <w:szCs w:val="28"/>
          </w:rPr>
          <w:t>ORCID https://orcid.org/0000-0002-1326-0034</w:t>
        </w:r>
      </w:hyperlink>
      <w:r w:rsidR="00791F0C" w:rsidRPr="00531211">
        <w:rPr>
          <w:rFonts w:ascii="Times New Roman" w:eastAsia="Times New Roman" w:hAnsi="Times New Roman" w:cs="Times New Roman"/>
          <w:color w:val="0000FF"/>
          <w:sz w:val="28"/>
          <w:szCs w:val="28"/>
        </w:rPr>
        <w:t>,</w:t>
      </w:r>
    </w:p>
    <w:p w:rsidR="00791F0C" w:rsidRPr="00531211" w:rsidRDefault="00791F0C" w:rsidP="00791F0C">
      <w:pPr>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кандидатка історичних наук, старша наукова співробітниця, </w:t>
      </w:r>
    </w:p>
    <w:p w:rsidR="00791F0C" w:rsidRPr="00531211" w:rsidRDefault="00791F0C" w:rsidP="00791F0C">
      <w:pPr>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провідна наукова співробітниця,</w:t>
      </w:r>
    </w:p>
    <w:p w:rsidR="00791F0C" w:rsidRPr="00531211" w:rsidRDefault="00791F0C" w:rsidP="00791F0C">
      <w:pPr>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відділ науково-методичної роботи, </w:t>
      </w:r>
    </w:p>
    <w:p w:rsidR="00791F0C" w:rsidRPr="00531211" w:rsidRDefault="00791F0C" w:rsidP="00791F0C">
      <w:pPr>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Інститут бібліотекознавства,</w:t>
      </w:r>
    </w:p>
    <w:p w:rsidR="00791F0C" w:rsidRPr="00531211" w:rsidRDefault="00791F0C" w:rsidP="00791F0C">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Національна бібліотека України імені В. І. Вернадського,</w:t>
      </w:r>
    </w:p>
    <w:p w:rsidR="00791F0C" w:rsidRPr="00531211" w:rsidRDefault="00791F0C" w:rsidP="00791F0C">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Київ, Україна </w:t>
      </w:r>
    </w:p>
    <w:p w:rsidR="00791F0C" w:rsidRPr="00531211" w:rsidRDefault="00791F0C" w:rsidP="00791F0C">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е-mail: </w:t>
      </w:r>
      <w:hyperlink r:id="rId5" w:history="1">
        <w:r w:rsidRPr="00531211">
          <w:rPr>
            <w:rStyle w:val="a3"/>
            <w:rFonts w:ascii="Times New Roman" w:eastAsia="Times New Roman" w:hAnsi="Times New Roman"/>
            <w:sz w:val="28"/>
            <w:szCs w:val="28"/>
          </w:rPr>
          <w:t>soloidenko@</w:t>
        </w:r>
      </w:hyperlink>
      <w:r w:rsidRPr="00531211">
        <w:rPr>
          <w:rFonts w:ascii="Times New Roman" w:eastAsia="Times New Roman" w:hAnsi="Times New Roman" w:cs="Times New Roman"/>
          <w:sz w:val="28"/>
          <w:szCs w:val="28"/>
        </w:rPr>
        <w:t>ukr.net</w:t>
      </w:r>
    </w:p>
    <w:p w:rsidR="00791F0C" w:rsidRPr="00531211" w:rsidRDefault="00791F0C" w:rsidP="00791F0C">
      <w:pPr>
        <w:spacing w:after="0" w:line="360" w:lineRule="auto"/>
        <w:ind w:firstLine="709"/>
        <w:rPr>
          <w:rFonts w:ascii="Times New Roman" w:eastAsia="Times New Roman" w:hAnsi="Times New Roman" w:cs="Times New Roman"/>
          <w:b/>
          <w:sz w:val="28"/>
          <w:szCs w:val="28"/>
        </w:rPr>
      </w:pPr>
    </w:p>
    <w:p w:rsidR="00791F0C" w:rsidRPr="00531211" w:rsidRDefault="00791F0C" w:rsidP="00791F0C">
      <w:pPr>
        <w:spacing w:after="0" w:line="360" w:lineRule="auto"/>
        <w:ind w:firstLine="709"/>
        <w:jc w:val="center"/>
        <w:rPr>
          <w:rFonts w:ascii="Times New Roman" w:eastAsia="Times New Roman" w:hAnsi="Times New Roman" w:cs="Times New Roman"/>
          <w:b/>
          <w:sz w:val="28"/>
          <w:szCs w:val="28"/>
        </w:rPr>
      </w:pPr>
      <w:r w:rsidRPr="00531211">
        <w:rPr>
          <w:rFonts w:ascii="Times New Roman" w:eastAsia="Times New Roman" w:hAnsi="Times New Roman" w:cs="Times New Roman"/>
          <w:b/>
          <w:sz w:val="28"/>
          <w:szCs w:val="28"/>
        </w:rPr>
        <w:t xml:space="preserve">Науково-методична робота на сайтах спеціальних бібліотек: </w:t>
      </w:r>
    </w:p>
    <w:p w:rsidR="00791F0C" w:rsidRPr="00531211" w:rsidRDefault="00791F0C" w:rsidP="00791F0C">
      <w:pPr>
        <w:spacing w:after="0" w:line="360" w:lineRule="auto"/>
        <w:ind w:firstLine="709"/>
        <w:jc w:val="center"/>
        <w:rPr>
          <w:rFonts w:ascii="Times New Roman" w:eastAsia="Times New Roman" w:hAnsi="Times New Roman" w:cs="Times New Roman"/>
          <w:b/>
          <w:sz w:val="28"/>
          <w:szCs w:val="28"/>
        </w:rPr>
      </w:pPr>
      <w:r w:rsidRPr="00531211">
        <w:rPr>
          <w:rFonts w:ascii="Times New Roman" w:eastAsia="Times New Roman" w:hAnsi="Times New Roman" w:cs="Times New Roman"/>
          <w:b/>
          <w:sz w:val="28"/>
          <w:szCs w:val="28"/>
        </w:rPr>
        <w:t>досвід та нові можливості цифровізації</w:t>
      </w:r>
    </w:p>
    <w:p w:rsidR="00791F0C" w:rsidRPr="00531211" w:rsidRDefault="00791F0C" w:rsidP="00791F0C">
      <w:pPr>
        <w:spacing w:after="0" w:line="360" w:lineRule="auto"/>
        <w:ind w:firstLine="709"/>
        <w:jc w:val="center"/>
        <w:rPr>
          <w:rFonts w:ascii="Times New Roman" w:eastAsia="Times New Roman" w:hAnsi="Times New Roman" w:cs="Times New Roman"/>
          <w:b/>
          <w:sz w:val="28"/>
          <w:szCs w:val="28"/>
        </w:rPr>
      </w:pPr>
    </w:p>
    <w:p w:rsidR="00791F0C" w:rsidRPr="00531211" w:rsidRDefault="00791F0C" w:rsidP="00791F0C">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Висвітлено відображення науково-методичної роботи на сайтах спеціальних бібліотек та вплив процесів цифровізації на її подальший розвиток. Проаналізовано представлення окремих напрямів науково-методичної роботи</w:t>
      </w:r>
      <w:r w:rsidRPr="00531211">
        <w:rPr>
          <w:rFonts w:ascii="Times New Roman" w:eastAsia="Calibri" w:hAnsi="Times New Roman" w:cs="Times New Roman"/>
          <w:sz w:val="28"/>
          <w:szCs w:val="28"/>
        </w:rPr>
        <w:t xml:space="preserve">: </w:t>
      </w:r>
      <w:r w:rsidRPr="00531211">
        <w:rPr>
          <w:rFonts w:ascii="Times New Roman" w:eastAsia="Times New Roman" w:hAnsi="Times New Roman" w:cs="Times New Roman"/>
          <w:sz w:val="28"/>
          <w:szCs w:val="28"/>
        </w:rPr>
        <w:t xml:space="preserve">законодавче забезпечення бібліотечної діяльності, статистичний облік діяльності мереж та підготовка відповідних аналітичних матеріалів, розроблення інструктивно-методичних документів,організація системи підвищення кваліфікації фахівців.Наголошено на нових можливостях цифровізації, пов’язаних з упровадженням інновацій та підвищенням фахових компетентностей бібліотекарів. </w:t>
      </w:r>
    </w:p>
    <w:p w:rsidR="00791F0C" w:rsidRPr="00531211" w:rsidRDefault="00791F0C" w:rsidP="00791F0C">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i/>
          <w:sz w:val="28"/>
          <w:szCs w:val="28"/>
        </w:rPr>
        <w:t xml:space="preserve">Ключові слова: </w:t>
      </w:r>
      <w:r w:rsidRPr="00531211">
        <w:rPr>
          <w:rFonts w:ascii="Times New Roman" w:eastAsia="Times New Roman" w:hAnsi="Times New Roman" w:cs="Times New Roman"/>
          <w:sz w:val="28"/>
          <w:szCs w:val="28"/>
        </w:rPr>
        <w:t xml:space="preserve">науково-методична робота, спеціальні бібліотеки України, мережа бібліотек, сайти бібліотек, цифровізація.  </w:t>
      </w:r>
    </w:p>
    <w:p w:rsidR="00791F0C" w:rsidRPr="00531211" w:rsidRDefault="00791F0C" w:rsidP="00791F0C">
      <w:pPr>
        <w:spacing w:after="0" w:line="360" w:lineRule="auto"/>
        <w:jc w:val="both"/>
        <w:rPr>
          <w:rFonts w:ascii="Times New Roman" w:eastAsia="Times New Roman" w:hAnsi="Times New Roman" w:cs="Times New Roman"/>
          <w:sz w:val="28"/>
          <w:szCs w:val="28"/>
        </w:rPr>
      </w:pPr>
    </w:p>
    <w:p w:rsidR="00791F0C" w:rsidRPr="00531211" w:rsidRDefault="00791F0C" w:rsidP="00791F0C">
      <w:pPr>
        <w:spacing w:after="0" w:line="360" w:lineRule="auto"/>
        <w:ind w:firstLine="708"/>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Методична робота бібліотеки – це система організаційних, аналітичних та практичних заходів, спрямованих на вдосконалення бібліотечної справи, підвищення кваліфікації працівників та впровадження інновацій. Методична робота, як важлива організаційна частина управлінської праці, реалізовується через різноманітні форми – від підготовки довготривалих стратегій та </w:t>
      </w:r>
      <w:r w:rsidRPr="00531211">
        <w:rPr>
          <w:rFonts w:ascii="Times New Roman" w:eastAsia="Times New Roman" w:hAnsi="Times New Roman" w:cs="Times New Roman"/>
          <w:sz w:val="28"/>
          <w:szCs w:val="28"/>
        </w:rPr>
        <w:lastRenderedPageBreak/>
        <w:t xml:space="preserve">концепцій розвитку бібліотек – методичних центрів до узагальнення інноваційного досвіду кожної окремої бібліотеки. </w:t>
      </w:r>
    </w:p>
    <w:p w:rsidR="00791F0C" w:rsidRPr="00531211" w:rsidRDefault="00791F0C" w:rsidP="00791F0C">
      <w:pPr>
        <w:spacing w:after="0" w:line="360" w:lineRule="auto"/>
        <w:ind w:firstLine="709"/>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Організаційні форми методичної діяльності бібліотек – це сукупність способів взаємодії методичного центру з бібліотеками певної галузі, або ж певної території. Вони спрямовані на підвищення кваліфікації працівників бібліотек, упровадження інновацій, поширення передового досвіду та надання практичної допомоги з різних питань діяльності бібліотеки.</w:t>
      </w:r>
    </w:p>
    <w:p w:rsidR="00791F0C" w:rsidRPr="00531211" w:rsidRDefault="00791F0C" w:rsidP="00791F0C">
      <w:pPr>
        <w:spacing w:after="0" w:line="360" w:lineRule="auto"/>
        <w:ind w:firstLine="709"/>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Типовими завданнями методичного підрозділу були й залишаються нині: розроблення системи якісних і кількісних показників обліку роботи бібліотек мережі; ведення статистичного обліку бібліотечної діяльності; підготовка зведених планів і звітів про діяльність бібліотечної мережі; виявлення, аналіз, оцінювання і впровадження інноваційного досвіду професійної бібліотечної діяльності; підвищення кваліфікації бібліотекарів. До функціональних обов’язків бібліотек методичних центрів належить також аналіз стану і основних напрямів діяльності мережі бібліотек та підготовка відповідних аналітичних матеріалів, які поширюються в довідниках та методичних збірниках (https://ube.nlu.org.ua/article/%D0%9C%D0%B5%D1%82%D0%BE%D0%B4%D0%B8%D1%81%D1%82).</w:t>
      </w:r>
    </w:p>
    <w:p w:rsidR="00791F0C" w:rsidRPr="00531211" w:rsidRDefault="00791F0C" w:rsidP="00791F0C">
      <w:pPr>
        <w:spacing w:after="0" w:line="360" w:lineRule="auto"/>
        <w:ind w:firstLine="708"/>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Цифрові технології, які активно впроваджуються в усі сфери людської діяльності, відкривають нові можливості для інновацій у бібліотечній галузі, активно впливають й на методичну діяльність: регулярного інформування про бібліотечні новини через електронну пошту, Viber, Fasebok; поширення методичної продукції в електронному форматі; проведення занять з підвищення кваліфікації онлайн та забезпечення доступу до інтерактивних освітніх платформ; консультування за допомогою віртуальної довідки та електронної методичної служби; забезпечення взаємодії між бібліотекарями в групах та соціальних мережах. Нові завдання, які постали перед бібліотеками у цифрову добу, вимагають і нового методичного забезпечення спрямованого на використання всіх сучасних можливостей електронної інформації. </w:t>
      </w:r>
    </w:p>
    <w:p w:rsidR="00791F0C" w:rsidRPr="00531211" w:rsidRDefault="00791F0C" w:rsidP="00791F0C">
      <w:pPr>
        <w:spacing w:after="0" w:line="360" w:lineRule="auto"/>
        <w:ind w:firstLine="709"/>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lastRenderedPageBreak/>
        <w:t xml:space="preserve">Видання, яке репрезентує всю сучасну бібліотечну систему України та надає інформацію органам влади та місцевого самоврядування чи громадянам про бібліотеки – це статистичний збірник «Бібліотечна Україна в цифрах». Він вміщує відомості про діяльність бібліотек – методичних центрів України та їхніх мереж. Серед спеціальних бібліотек, які мають мережі бібліотек та організують науково-методичну діяльність, це: Національна бібліотека України імені В. І. Вернадського (далі НБУВ), Національна наукова медична бібліотека України (далі ННМБ України), Національна наукова сільськогосподарська бібліотека НААН (далі ННСГБ НААН), Державна науково-педагогічна бібліотека України імені В. О. Сухомлинського (далі ДНПБ України імені В. О. Сухомлинського), Державна науково-технічна бібліотека України (далі ДНТБ України), Державна наукова архітектурно-будівельна бібліотека імені В. Г. Заболотного (далі ДНАББ ім. В. Г. Заболотного), Наукова бібліотека імені М. Максимовича Київського національного університету імені Тараса Шевченка (далі НБ ім. М. Максимовича). </w:t>
      </w:r>
    </w:p>
    <w:p w:rsidR="00791F0C" w:rsidRPr="00531211" w:rsidRDefault="00791F0C" w:rsidP="00791F0C">
      <w:pPr>
        <w:spacing w:after="0" w:line="360" w:lineRule="auto"/>
        <w:ind w:firstLine="709"/>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Проаналізуємо представлення методичної діяльності на вебсайтах спеціальних бібліотек, адже сайт – це важливий цифровий ресурс, який забезпечує дистанційний доступ до документів, сервісів і послуг, відіграє ключову роль у створенні єдиного інформаційного простору окремої мережі бібліотек. Зазвичай методична діяльність на сайтах бібліотек вміщується у рубриці «Бібліотечним фахівцям», проте окремі бібліотеки цю діяльність презентують у інших розділах, зокрема, відділ методичної роботи, послуги та інших. </w:t>
      </w:r>
    </w:p>
    <w:p w:rsidR="00791F0C" w:rsidRPr="00531211" w:rsidRDefault="00791F0C" w:rsidP="00791F0C">
      <w:pPr>
        <w:spacing w:after="0" w:line="360" w:lineRule="auto"/>
        <w:ind w:firstLine="709"/>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Слід наголосити, що методичні підрозділи є в структурі всіх спеціальних бібліотек, крім ДНТБ України. Статистичні відомості про діяльність бібліотек мережі представляють у своїх виданнях НБУВ, ННМБ України, ННСГБ НААН, ДНПБ України імені В. О. Сухомлинського, ДНАББ ім. В. Г. Заболотного. Корпоративна діяльність бібліотечних мереж представлена досить обмежено, зокрема на сайтах НБУВ (каталоги бібліотек наукових установ НАН України), ННМБ України (проєкт корпоративної каталогізації), НБ ім. М. Максимовича (корпоративна діяльність бібліотек закладів вищої освіти (далі ЗВО) України).</w:t>
      </w:r>
    </w:p>
    <w:p w:rsidR="00791F0C" w:rsidRPr="00531211" w:rsidRDefault="00791F0C" w:rsidP="00791F0C">
      <w:pPr>
        <w:spacing w:after="0" w:line="360" w:lineRule="auto"/>
        <w:ind w:firstLine="709"/>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lastRenderedPageBreak/>
        <w:t xml:space="preserve">Сайт НБ ім. М. Максимовича, на нашу думку, є одним з найдосконаліших та найсучасніших. Зокрема, розділ «Нормативно-правова база діяльності бібліотек ЗВО України» може слугувати взірцем для інших бібліотек. Рубрики «Теми наукових розробок бібліотек ЗВО» та «Публікації статей працівників бібліотек ЗВО» є часто відвідуваними, але відсутніми на сайтах інших спеціальних бібліотек. </w:t>
      </w:r>
    </w:p>
    <w:p w:rsidR="00791F0C" w:rsidRPr="00531211" w:rsidRDefault="00791F0C" w:rsidP="00791F0C">
      <w:pPr>
        <w:spacing w:after="0" w:line="360" w:lineRule="auto"/>
        <w:ind w:firstLine="709"/>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Серед основних недоліків слід відзначити, що на головній сторінці вебсайтів бібліотек рубрика «Бібліотечному фахівцю» відсутня у НБУВ, ДНАББ ім. В. Г. Заболотного, ДНТБ України. Така важлива для бібліотечних мереж рубрика, як «Нормативно-правова база діяльності бібліотек» відсутня у ННСГБ НААН, ДНТБ України, ДНАББ ім. В. Г. Заболотного. Інструктивно-методичні матеріали, розроблені методичними центрами для своїх бібліотек, відсутні на сайтах ННСГБ НААН, ДНАББ ім. В. Г. Заболотного, ДНТБ України. </w:t>
      </w:r>
    </w:p>
    <w:p w:rsidR="00791F0C" w:rsidRPr="00531211" w:rsidRDefault="00791F0C" w:rsidP="00791F0C">
      <w:pPr>
        <w:spacing w:after="0" w:line="360" w:lineRule="auto"/>
        <w:ind w:firstLine="708"/>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Суттєвими недоліками сайтів є й відсутність повних звітів про роботу бібліотек, бібліографічних покажчиків їхніх видань за певний період, наявність застарілих відомостей про плани занять з підвищення кваліфікації, що не дає можливості проаналізувати методичну роботу у повному обсязі. Загалом сайти бібліотек дають уявлення про сучасну методичну діяльність спеціальних бібліотек, сприяють налагодженню комунікації з бібліотеками як своєї, так і інших мереж та зарубіжними бібліотеками. </w:t>
      </w:r>
    </w:p>
    <w:p w:rsidR="00791F0C" w:rsidRPr="00531211" w:rsidRDefault="00791F0C" w:rsidP="00791F0C">
      <w:pPr>
        <w:spacing w:after="0" w:line="360" w:lineRule="auto"/>
        <w:ind w:firstLine="708"/>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Аналізуючи сайти спеціальних бібліотек – методичних центрів, варто відзначити, що за останні десятиліття спостерігається скорочення окремих суто бібліотечних функцій (серед яких і методична), які були притаманні цим бібліотекам упродовж значного попереднього періоду їхньої діяльності. Разом з тим з’являється все більше нових суміжних з бібліотечною галуззю напрямів діяльності. Про це досить красномовно засвідчують як сайти, так і окремі видання, зокрема матеріали міжнародних конференцій, відсоток бібліотечної тематики у яких щороку зменшується.</w:t>
      </w:r>
    </w:p>
    <w:p w:rsidR="00791F0C" w:rsidRPr="00531211" w:rsidRDefault="00791F0C" w:rsidP="00791F0C">
      <w:pPr>
        <w:spacing w:after="0" w:line="360" w:lineRule="auto"/>
        <w:ind w:firstLine="708"/>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Попри певні досягнення цифровізація загалом ставить перед бібліотекарями й низку викликів, пов’язаних із необхідністю технічної </w:t>
      </w:r>
      <w:r w:rsidRPr="00531211">
        <w:rPr>
          <w:rFonts w:ascii="Times New Roman" w:eastAsia="Times New Roman" w:hAnsi="Times New Roman" w:cs="Times New Roman"/>
          <w:sz w:val="28"/>
          <w:szCs w:val="28"/>
        </w:rPr>
        <w:lastRenderedPageBreak/>
        <w:t xml:space="preserve">модернізації сайтів та обладнання, цифровим збереженням джерел та забезпеченням доступу до повнотекстових і аналітичних ресурсів. Зрозуміло, що впровадження сучасних цифрових сервісів та програм може бути обмеженим через високі ціни на ліцензії, програмне забезпечення та брак кваліфікованих кадрів з ІТ-сфери. Особлива потреба спостерігається йу підвищенні цифрової грамотності бібліотекарів, навчанні роботи з цифровими платформами, управлінні метаданими та цифровим контентом. </w:t>
      </w:r>
    </w:p>
    <w:p w:rsidR="00791F0C" w:rsidRPr="00531211" w:rsidRDefault="00791F0C" w:rsidP="00791F0C">
      <w:pPr>
        <w:spacing w:after="0" w:line="360" w:lineRule="auto"/>
        <w:ind w:firstLine="709"/>
        <w:jc w:val="both"/>
        <w:rPr>
          <w:rFonts w:ascii="Times New Roman" w:eastAsia="Times New Roman" w:hAnsi="Times New Roman" w:cs="Times New Roman"/>
          <w:sz w:val="28"/>
          <w:szCs w:val="28"/>
        </w:rPr>
      </w:pPr>
      <w:r w:rsidRPr="00531211">
        <w:rPr>
          <w:rFonts w:ascii="Times New Roman" w:eastAsia="Times New Roman" w:hAnsi="Times New Roman" w:cs="Times New Roman"/>
          <w:bCs/>
          <w:sz w:val="28"/>
          <w:szCs w:val="28"/>
        </w:rPr>
        <w:t>Отже, в</w:t>
      </w:r>
      <w:r w:rsidRPr="00531211">
        <w:rPr>
          <w:rFonts w:ascii="Times New Roman" w:eastAsia="Times New Roman" w:hAnsi="Times New Roman" w:cs="Times New Roman"/>
          <w:sz w:val="28"/>
          <w:szCs w:val="28"/>
        </w:rPr>
        <w:t xml:space="preserve">ідображення діяльності методичних центрів на сайтах бібліотек та у медіапросторі підвищує ефективність роботи всієї мережі та допомагає досягти більш швидких результатів у впровадженні інновацій та підвищенні кваліфікації бібліотекарів. За результатами перегляду сайтів можна стверджувати, що спеціальні бібліотеки використовують переваги цифровізації, проте кожна бібліотека має свої особливості як у забезпеченні методичної діяльності, так і у відображенні її на своєму сайті. </w:t>
      </w:r>
    </w:p>
    <w:p w:rsidR="00791F0C" w:rsidRPr="00531211" w:rsidRDefault="00791F0C" w:rsidP="00791F0C">
      <w:pPr>
        <w:spacing w:after="0" w:line="360" w:lineRule="auto"/>
        <w:ind w:firstLine="708"/>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Бібліотечні мережі спеціальних бібліотек мають як спільні, так і власні проблеми, що потребують консолідованого вирішення. Відсутність програм нормативно-методичного забезпечення корпоративної взаємодії, необхідність посилення впливу керівних органів та наглядових рад спеціальних бібліотек, інтенсифікація внутрішньовідомчої координації – ці питання потребують нагального вирішення для ефективного функціонування всієї бібліотечно-інформаційної сфери України.</w:t>
      </w:r>
    </w:p>
    <w:p w:rsidR="00791F0C" w:rsidRPr="00531211" w:rsidRDefault="00791F0C" w:rsidP="00791F0C">
      <w:pPr>
        <w:spacing w:after="0" w:line="360" w:lineRule="auto"/>
        <w:jc w:val="both"/>
        <w:rPr>
          <w:rFonts w:ascii="Times New Roman" w:eastAsia="Times New Roman" w:hAnsi="Times New Roman" w:cs="Times New Roman"/>
          <w:b/>
          <w:color w:val="000000"/>
          <w:sz w:val="28"/>
          <w:szCs w:val="28"/>
        </w:rPr>
      </w:pPr>
    </w:p>
    <w:p w:rsidR="00791F0C" w:rsidRPr="00531211" w:rsidRDefault="00791F0C" w:rsidP="00791F0C">
      <w:pPr>
        <w:spacing w:after="0" w:line="360" w:lineRule="auto"/>
        <w:jc w:val="both"/>
        <w:rPr>
          <w:rFonts w:ascii="Times New Roman" w:eastAsia="Times New Roman" w:hAnsi="Times New Roman" w:cs="Times New Roman"/>
          <w:b/>
          <w:color w:val="000000"/>
          <w:sz w:val="28"/>
          <w:szCs w:val="28"/>
        </w:rPr>
      </w:pPr>
      <w:r w:rsidRPr="00531211">
        <w:rPr>
          <w:rFonts w:ascii="Times New Roman" w:eastAsia="Times New Roman" w:hAnsi="Times New Roman" w:cs="Times New Roman"/>
          <w:b/>
          <w:color w:val="000000"/>
          <w:sz w:val="28"/>
          <w:szCs w:val="28"/>
        </w:rPr>
        <w:t>HalynaSoloidenko,</w:t>
      </w:r>
    </w:p>
    <w:p w:rsidR="00791F0C" w:rsidRPr="00531211" w:rsidRDefault="00656CA4" w:rsidP="00791F0C">
      <w:pPr>
        <w:spacing w:after="0" w:line="360" w:lineRule="auto"/>
        <w:jc w:val="both"/>
        <w:rPr>
          <w:rFonts w:ascii="Times New Roman" w:eastAsia="Times New Roman" w:hAnsi="Times New Roman" w:cs="Times New Roman"/>
          <w:sz w:val="28"/>
          <w:szCs w:val="28"/>
        </w:rPr>
      </w:pPr>
      <w:hyperlink r:id="rId6" w:history="1">
        <w:r w:rsidR="00791F0C" w:rsidRPr="00531211">
          <w:rPr>
            <w:rStyle w:val="a3"/>
            <w:rFonts w:ascii="Times New Roman" w:eastAsia="Times New Roman" w:hAnsi="Times New Roman"/>
            <w:sz w:val="28"/>
            <w:szCs w:val="28"/>
          </w:rPr>
          <w:t>ORCID https://orcid.org/0000-0002-1326-0034</w:t>
        </w:r>
      </w:hyperlink>
      <w:r w:rsidR="00791F0C" w:rsidRPr="00531211">
        <w:rPr>
          <w:rFonts w:ascii="Times New Roman" w:eastAsia="Times New Roman" w:hAnsi="Times New Roman" w:cs="Times New Roman"/>
          <w:color w:val="0000FF"/>
          <w:sz w:val="28"/>
          <w:szCs w:val="28"/>
        </w:rPr>
        <w:t>,</w:t>
      </w:r>
    </w:p>
    <w:p w:rsidR="00791F0C" w:rsidRPr="00531211" w:rsidRDefault="00791F0C" w:rsidP="00791F0C">
      <w:pPr>
        <w:tabs>
          <w:tab w:val="left" w:pos="9072"/>
        </w:tabs>
        <w:suppressAutoHyphens/>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lang w:eastAsia="zh-CN" w:bidi="hi-IN"/>
        </w:rPr>
        <w:t xml:space="preserve">PhD (History), </w:t>
      </w:r>
      <w:r w:rsidRPr="00531211">
        <w:rPr>
          <w:rFonts w:ascii="Times New Roman" w:eastAsia="TimesNewRomanPSMT;MS Gothic" w:hAnsi="Times New Roman" w:cs="Times New Roman"/>
          <w:sz w:val="28"/>
          <w:szCs w:val="28"/>
          <w:lang w:eastAsia="uk-UA"/>
        </w:rPr>
        <w:t>Senior</w:t>
      </w:r>
      <w:r w:rsidRPr="00531211">
        <w:rPr>
          <w:rFonts w:ascii="Times New Roman" w:eastAsia="NSimSun" w:hAnsi="Times New Roman" w:cs="Times New Roman"/>
          <w:sz w:val="28"/>
          <w:szCs w:val="28"/>
          <w:lang w:eastAsia="zh-CN"/>
        </w:rPr>
        <w:t>ResearchAssociate</w:t>
      </w:r>
      <w:r w:rsidRPr="00531211">
        <w:rPr>
          <w:rFonts w:ascii="Times New Roman" w:eastAsia="TimesNewRomanPSMT;MS Gothic" w:hAnsi="Times New Roman" w:cs="Times New Roman"/>
          <w:sz w:val="28"/>
          <w:szCs w:val="28"/>
          <w:lang w:eastAsia="uk-UA"/>
        </w:rPr>
        <w:t xml:space="preserve">, </w:t>
      </w:r>
      <w:r w:rsidRPr="00531211">
        <w:rPr>
          <w:rFonts w:ascii="Times New Roman" w:eastAsia="Times New Roman" w:hAnsi="Times New Roman" w:cs="Times New Roman"/>
          <w:color w:val="000000"/>
          <w:sz w:val="28"/>
          <w:szCs w:val="28"/>
        </w:rPr>
        <w:t>Leading</w:t>
      </w:r>
      <w:r w:rsidRPr="00531211">
        <w:rPr>
          <w:rFonts w:ascii="Times New Roman" w:eastAsia="NSimSun" w:hAnsi="Times New Roman" w:cs="Times New Roman"/>
          <w:sz w:val="28"/>
          <w:szCs w:val="28"/>
          <w:lang w:val="en-US" w:eastAsia="zh-CN"/>
        </w:rPr>
        <w:t>Research Associate</w:t>
      </w:r>
      <w:r w:rsidRPr="00531211">
        <w:rPr>
          <w:rFonts w:ascii="Times New Roman" w:eastAsia="Times New Roman" w:hAnsi="Times New Roman" w:cs="Times New Roman"/>
          <w:sz w:val="28"/>
          <w:szCs w:val="28"/>
        </w:rPr>
        <w:t>,</w:t>
      </w:r>
    </w:p>
    <w:p w:rsidR="00791F0C" w:rsidRPr="00531211" w:rsidRDefault="00791F0C" w:rsidP="00791F0C">
      <w:pPr>
        <w:spacing w:after="0" w:line="360" w:lineRule="auto"/>
        <w:jc w:val="both"/>
        <w:rPr>
          <w:rFonts w:ascii="Times New Roman" w:eastAsia="Times New Roman" w:hAnsi="Times New Roman" w:cs="Times New Roman"/>
          <w:b/>
          <w:color w:val="000000"/>
          <w:sz w:val="28"/>
          <w:szCs w:val="28"/>
        </w:rPr>
      </w:pPr>
      <w:r w:rsidRPr="00531211">
        <w:rPr>
          <w:rFonts w:ascii="Times New Roman" w:eastAsia="Times New Roman" w:hAnsi="Times New Roman" w:cs="Times New Roman"/>
          <w:color w:val="000000"/>
          <w:sz w:val="28"/>
          <w:szCs w:val="28"/>
        </w:rPr>
        <w:t>DepartmentofScientificandMethodologicalActivity,</w:t>
      </w:r>
    </w:p>
    <w:p w:rsidR="00791F0C" w:rsidRPr="00531211" w:rsidRDefault="00791F0C" w:rsidP="00791F0C">
      <w:pPr>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Institute of Library Science,</w:t>
      </w:r>
    </w:p>
    <w:p w:rsidR="00791F0C" w:rsidRPr="00531211" w:rsidRDefault="00791F0C" w:rsidP="00791F0C">
      <w:pPr>
        <w:spacing w:after="0" w:line="360" w:lineRule="auto"/>
        <w:jc w:val="both"/>
        <w:rPr>
          <w:rFonts w:ascii="Times New Roman" w:eastAsia="Times New Roman" w:hAnsi="Times New Roman" w:cs="Times New Roman"/>
          <w:color w:val="000000"/>
          <w:sz w:val="28"/>
          <w:szCs w:val="28"/>
        </w:rPr>
      </w:pPr>
      <w:r w:rsidRPr="00531211">
        <w:rPr>
          <w:rFonts w:ascii="Times New Roman" w:eastAsia="Times New Roman" w:hAnsi="Times New Roman" w:cs="Times New Roman"/>
          <w:color w:val="000000"/>
          <w:sz w:val="28"/>
          <w:szCs w:val="28"/>
        </w:rPr>
        <w:t>V. I. VernadskyiNationalLibraryofUkraine,</w:t>
      </w:r>
    </w:p>
    <w:p w:rsidR="00791F0C" w:rsidRPr="00531211" w:rsidRDefault="00791F0C" w:rsidP="00791F0C">
      <w:pPr>
        <w:spacing w:after="0" w:line="360" w:lineRule="auto"/>
        <w:jc w:val="both"/>
        <w:rPr>
          <w:rFonts w:ascii="Times New Roman" w:eastAsia="Times New Roman" w:hAnsi="Times New Roman" w:cs="Times New Roman"/>
          <w:color w:val="000000"/>
          <w:sz w:val="28"/>
          <w:szCs w:val="28"/>
        </w:rPr>
      </w:pPr>
      <w:r w:rsidRPr="00531211">
        <w:rPr>
          <w:rFonts w:ascii="Times New Roman" w:eastAsia="Times New Roman" w:hAnsi="Times New Roman" w:cs="Times New Roman"/>
          <w:sz w:val="28"/>
          <w:szCs w:val="28"/>
        </w:rPr>
        <w:t>Kyiv, Ukraine</w:t>
      </w:r>
    </w:p>
    <w:p w:rsidR="00791F0C" w:rsidRPr="00531211" w:rsidRDefault="00791F0C" w:rsidP="00791F0C">
      <w:pPr>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e-mail: soloidenko@nbuv.gov.ua</w:t>
      </w:r>
    </w:p>
    <w:p w:rsidR="00791F0C" w:rsidRPr="00531211" w:rsidRDefault="00791F0C" w:rsidP="00791F0C">
      <w:pPr>
        <w:spacing w:after="0" w:line="360" w:lineRule="auto"/>
        <w:jc w:val="center"/>
        <w:rPr>
          <w:rFonts w:ascii="Times New Roman" w:eastAsia="Times New Roman" w:hAnsi="Times New Roman" w:cs="Times New Roman"/>
          <w:b/>
          <w:sz w:val="28"/>
          <w:szCs w:val="28"/>
        </w:rPr>
      </w:pPr>
    </w:p>
    <w:p w:rsidR="00791F0C" w:rsidRPr="00531211" w:rsidRDefault="00791F0C" w:rsidP="00791F0C">
      <w:pPr>
        <w:spacing w:after="0" w:line="360" w:lineRule="auto"/>
        <w:jc w:val="center"/>
        <w:rPr>
          <w:rFonts w:ascii="Times New Roman" w:eastAsia="Times New Roman" w:hAnsi="Times New Roman" w:cs="Times New Roman"/>
          <w:b/>
          <w:sz w:val="28"/>
          <w:szCs w:val="28"/>
        </w:rPr>
      </w:pPr>
      <w:r w:rsidRPr="00531211">
        <w:rPr>
          <w:rFonts w:ascii="Times New Roman" w:eastAsia="Times New Roman" w:hAnsi="Times New Roman" w:cs="Times New Roman"/>
          <w:b/>
          <w:sz w:val="28"/>
          <w:szCs w:val="28"/>
        </w:rPr>
        <w:lastRenderedPageBreak/>
        <w:t>ScientificandMethodologicalWorkontheWebsitesofSpecializedLibraries:</w:t>
      </w:r>
    </w:p>
    <w:p w:rsidR="00791F0C" w:rsidRPr="00531211" w:rsidRDefault="00791F0C" w:rsidP="00791F0C">
      <w:pPr>
        <w:spacing w:after="0" w:line="360" w:lineRule="auto"/>
        <w:jc w:val="center"/>
        <w:rPr>
          <w:rFonts w:ascii="Times New Roman" w:eastAsia="Times New Roman" w:hAnsi="Times New Roman" w:cs="Times New Roman"/>
          <w:b/>
          <w:sz w:val="28"/>
          <w:szCs w:val="28"/>
        </w:rPr>
      </w:pPr>
      <w:r w:rsidRPr="00531211">
        <w:rPr>
          <w:rFonts w:ascii="Times New Roman" w:eastAsia="Times New Roman" w:hAnsi="Times New Roman" w:cs="Times New Roman"/>
          <w:b/>
          <w:sz w:val="28"/>
          <w:szCs w:val="28"/>
        </w:rPr>
        <w:t>ExperienceandNebOpportunities</w:t>
      </w:r>
    </w:p>
    <w:p w:rsidR="00791F0C" w:rsidRPr="00531211" w:rsidRDefault="00791F0C" w:rsidP="00791F0C">
      <w:pPr>
        <w:spacing w:after="0" w:line="360" w:lineRule="auto"/>
        <w:jc w:val="center"/>
        <w:rPr>
          <w:rFonts w:ascii="Times New Roman" w:eastAsia="Times New Roman" w:hAnsi="Times New Roman" w:cs="Times New Roman"/>
          <w:b/>
          <w:sz w:val="28"/>
          <w:szCs w:val="28"/>
        </w:rPr>
      </w:pPr>
    </w:p>
    <w:p w:rsidR="00791F0C" w:rsidRPr="00531211" w:rsidRDefault="00791F0C" w:rsidP="00791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1F1F1F"/>
          <w:sz w:val="28"/>
          <w:szCs w:val="28"/>
          <w:shd w:val="clear" w:color="auto" w:fill="F8F9FA"/>
        </w:rPr>
      </w:pPr>
      <w:r w:rsidRPr="00531211">
        <w:rPr>
          <w:rFonts w:ascii="Times New Roman" w:eastAsia="Times New Roman" w:hAnsi="Times New Roman" w:cs="Times New Roman"/>
          <w:color w:val="1F1F1F"/>
          <w:sz w:val="28"/>
          <w:szCs w:val="28"/>
          <w:shd w:val="clear" w:color="auto" w:fill="F8F9FA"/>
        </w:rPr>
        <w:t>Thearticleexamineshowscientificandmethodologicalworkispresentedonthewebsitesofspecializedlibrariesandanalyzestheimpactofdigitalizationprocessesonitsfurtherdevelopment. Itreviewsthepresentationofspecificareasofthiswork, includingthelegislativeframeworkforlibraryactivities, statisticaltrackingofnetworkoperationsandthepreparationofrelatedanalyticalmaterials, thedisseminationofinstructionalandmethodologicaldocuments, andtheorganizationofprofessionaldevelopmentsystemsforspecialists. Emphasisisplacedonthenewopportunitiesofferedbydigitalization, particularlyregardingtheimplementationofinnovationsandtheenhancementoflibrarians' professionalcompetencies.</w:t>
      </w:r>
    </w:p>
    <w:p w:rsidR="00791F0C" w:rsidRPr="00531211" w:rsidRDefault="00791F0C" w:rsidP="00791F0C">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i/>
          <w:sz w:val="28"/>
          <w:szCs w:val="28"/>
        </w:rPr>
        <w:t xml:space="preserve">Keywords: </w:t>
      </w:r>
      <w:r w:rsidRPr="00531211">
        <w:rPr>
          <w:rFonts w:ascii="Times New Roman" w:eastAsia="Times New Roman" w:hAnsi="Times New Roman" w:cs="Times New Roman"/>
          <w:sz w:val="28"/>
          <w:szCs w:val="28"/>
        </w:rPr>
        <w:t>scientificandmethodologicalwork, speciallibrariesofUkraine, librarywebsites, digitalization.</w:t>
      </w:r>
    </w:p>
    <w:p w:rsidR="00791F0C" w:rsidRPr="00531211" w:rsidRDefault="00791F0C" w:rsidP="00791F0C">
      <w:pPr>
        <w:spacing w:after="0" w:line="360" w:lineRule="auto"/>
        <w:rPr>
          <w:rFonts w:ascii="Times New Roman" w:eastAsia="Calibri" w:hAnsi="Times New Roman" w:cs="Times New Roman"/>
          <w:b/>
          <w:sz w:val="28"/>
          <w:szCs w:val="28"/>
        </w:rPr>
      </w:pPr>
    </w:p>
    <w:p w:rsidR="00AE3EED" w:rsidRDefault="00AE3EED">
      <w:bookmarkStart w:id="0" w:name="_GoBack"/>
      <w:bookmarkEnd w:id="0"/>
    </w:p>
    <w:sectPr w:rsidR="00AE3EED" w:rsidSect="00656CA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MS Gothic">
    <w:panose1 w:val="00000000000000000000"/>
    <w:charset w:val="00"/>
    <w:family w:val="roman"/>
    <w:notTrueType/>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AD407F"/>
    <w:rsid w:val="00656CA4"/>
    <w:rsid w:val="00791F0C"/>
    <w:rsid w:val="00AD407F"/>
    <w:rsid w:val="00AE3EED"/>
    <w:rsid w:val="00B5419B"/>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F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91F0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ORCID%20https://orcid.org/0000-0002-1326-0034" TargetMode="External"/><Relationship Id="rId5" Type="http://schemas.openxmlformats.org/officeDocument/2006/relationships/hyperlink" Target="mailto:soloidenko@" TargetMode="External"/><Relationship Id="rId4" Type="http://schemas.openxmlformats.org/officeDocument/2006/relationships/hyperlink" Target="file:///D:\Klymenko-1.06.2022\konf-NBUV\konf%2026\tezy%20sek%201\plag\ORCID%20https:\orcid.org\0000-0002-1326-003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6689</Words>
  <Characters>3813</Characters>
  <Application>Microsoft Office Word</Application>
  <DocSecurity>0</DocSecurity>
  <Lines>31</Lines>
  <Paragraphs>20</Paragraphs>
  <ScaleCrop>false</ScaleCrop>
  <Company/>
  <LinksUpToDate>false</LinksUpToDate>
  <CharactersWithSpaces>10482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2026-09-16T08:49:00Z</dcterms:created>
  <dcterms:modified xsi:type="dcterms:W3CDTF">2026-09-16T08:49:00Z</dcterms:modified>
</cp:coreProperties>
</file>