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84E" w:rsidRPr="00531211" w:rsidRDefault="0092484E" w:rsidP="0092484E">
      <w:pPr>
        <w:spacing w:after="0" w:line="360" w:lineRule="auto"/>
        <w:jc w:val="both"/>
        <w:rPr>
          <w:rFonts w:ascii="Times New Roman" w:hAnsi="Times New Roman" w:cs="Times New Roman"/>
          <w:sz w:val="28"/>
          <w:szCs w:val="28"/>
        </w:rPr>
      </w:pPr>
    </w:p>
    <w:p w:rsidR="0092484E" w:rsidRPr="00531211" w:rsidRDefault="0092484E" w:rsidP="0092484E">
      <w:pPr>
        <w:spacing w:after="0" w:line="360" w:lineRule="auto"/>
        <w:jc w:val="both"/>
        <w:rPr>
          <w:rFonts w:ascii="Times New Roman" w:eastAsia="Calibri" w:hAnsi="Times New Roman" w:cs="Times New Roman"/>
          <w:b/>
          <w:sz w:val="28"/>
          <w:szCs w:val="28"/>
        </w:rPr>
      </w:pPr>
      <w:r w:rsidRPr="00531211">
        <w:rPr>
          <w:rFonts w:ascii="Times New Roman" w:eastAsia="Calibri" w:hAnsi="Times New Roman" w:cs="Times New Roman"/>
          <w:b/>
          <w:sz w:val="28"/>
          <w:szCs w:val="28"/>
        </w:rPr>
        <w:t>Прокопенко Лілія Сергіївна,</w:t>
      </w:r>
    </w:p>
    <w:p w:rsidR="0092484E" w:rsidRPr="00531211" w:rsidRDefault="0092484E" w:rsidP="0092484E">
      <w:pPr>
        <w:autoSpaceDE w:val="0"/>
        <w:autoSpaceDN w:val="0"/>
        <w:adjustRightInd w:val="0"/>
        <w:spacing w:after="0" w:line="360" w:lineRule="auto"/>
        <w:rPr>
          <w:rFonts w:ascii="Times New Roman" w:eastAsia="Calibri" w:hAnsi="Times New Roman" w:cs="Times New Roman"/>
          <w:sz w:val="28"/>
          <w:szCs w:val="28"/>
          <w:lang w:eastAsia="ru-RU"/>
        </w:rPr>
      </w:pPr>
      <w:r w:rsidRPr="00531211">
        <w:rPr>
          <w:rFonts w:ascii="Times New Roman" w:eastAsia="Calibri" w:hAnsi="Times New Roman" w:cs="Times New Roman"/>
          <w:sz w:val="28"/>
          <w:szCs w:val="28"/>
          <w:lang w:eastAsia="ru-RU"/>
        </w:rPr>
        <w:t xml:space="preserve">ORCID </w:t>
      </w:r>
      <w:hyperlink r:id="rId4" w:history="1">
        <w:r w:rsidRPr="00531211">
          <w:rPr>
            <w:rFonts w:ascii="Times New Roman" w:eastAsia="Calibri" w:hAnsi="Times New Roman" w:cs="Times New Roman"/>
            <w:sz w:val="28"/>
            <w:szCs w:val="28"/>
            <w:lang w:eastAsia="ru-RU"/>
          </w:rPr>
          <w:t>https://orcid.org/</w:t>
        </w:r>
        <w:r w:rsidRPr="00531211">
          <w:rPr>
            <w:rFonts w:ascii="Times New Roman" w:eastAsia="Calibri" w:hAnsi="Times New Roman" w:cs="Times New Roman"/>
            <w:sz w:val="28"/>
            <w:szCs w:val="28"/>
          </w:rPr>
          <w:t>0000-0003-0531-6111</w:t>
        </w:r>
      </w:hyperlink>
      <w:r w:rsidRPr="00531211">
        <w:rPr>
          <w:rFonts w:ascii="Times New Roman" w:eastAsia="Calibri" w:hAnsi="Times New Roman" w:cs="Times New Roman"/>
          <w:sz w:val="28"/>
          <w:szCs w:val="28"/>
          <w:lang w:eastAsia="ru-RU"/>
        </w:rPr>
        <w:t>,</w:t>
      </w:r>
    </w:p>
    <w:p w:rsidR="0092484E" w:rsidRPr="00531211" w:rsidRDefault="0092484E" w:rsidP="0092484E">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кандидатка історичних наук, доцентка,</w:t>
      </w:r>
    </w:p>
    <w:p w:rsidR="0092484E" w:rsidRPr="00531211" w:rsidRDefault="0092484E" w:rsidP="0092484E">
      <w:pPr>
        <w:adjustRightInd w:val="0"/>
        <w:spacing w:after="0" w:line="360" w:lineRule="auto"/>
        <w:jc w:val="both"/>
        <w:rPr>
          <w:rFonts w:ascii="Times New Roman" w:eastAsia="TimesNewRomanPSMT" w:hAnsi="Times New Roman" w:cs="Times New Roman"/>
          <w:sz w:val="28"/>
          <w:szCs w:val="28"/>
        </w:rPr>
      </w:pPr>
      <w:r w:rsidRPr="00531211">
        <w:rPr>
          <w:rFonts w:ascii="Times New Roman" w:eastAsia="TimesNewRomanPSMT" w:hAnsi="Times New Roman" w:cs="Times New Roman"/>
          <w:sz w:val="28"/>
          <w:szCs w:val="28"/>
        </w:rPr>
        <w:t>старша наукова співробітниця,</w:t>
      </w:r>
    </w:p>
    <w:p w:rsidR="0092484E" w:rsidRPr="00531211" w:rsidRDefault="0092484E" w:rsidP="0092484E">
      <w:pPr>
        <w:adjustRightInd w:val="0"/>
        <w:spacing w:after="0" w:line="360" w:lineRule="auto"/>
        <w:jc w:val="both"/>
        <w:rPr>
          <w:rFonts w:ascii="Times New Roman" w:eastAsia="TimesNewRomanPSMT" w:hAnsi="Times New Roman" w:cs="Times New Roman"/>
          <w:sz w:val="28"/>
          <w:szCs w:val="28"/>
        </w:rPr>
      </w:pPr>
      <w:r w:rsidRPr="00531211">
        <w:rPr>
          <w:rFonts w:ascii="Times New Roman" w:eastAsia="TimesNewRomanPSMT" w:hAnsi="Times New Roman" w:cs="Times New Roman"/>
          <w:sz w:val="28"/>
          <w:szCs w:val="28"/>
        </w:rPr>
        <w:t>відділ міжнародної інформації та зарубіжних зв’язків,</w:t>
      </w:r>
    </w:p>
    <w:p w:rsidR="0092484E" w:rsidRPr="00531211" w:rsidRDefault="0092484E" w:rsidP="0092484E">
      <w:pPr>
        <w:adjustRightInd w:val="0"/>
        <w:spacing w:after="0" w:line="360" w:lineRule="auto"/>
        <w:jc w:val="both"/>
        <w:rPr>
          <w:rFonts w:ascii="Times New Roman" w:eastAsia="TimesNewRomanPSMT" w:hAnsi="Times New Roman" w:cs="Times New Roman"/>
          <w:sz w:val="28"/>
          <w:szCs w:val="28"/>
        </w:rPr>
      </w:pPr>
      <w:r w:rsidRPr="00531211">
        <w:rPr>
          <w:rFonts w:ascii="Times New Roman" w:eastAsia="TimesNewRomanPSMT" w:hAnsi="Times New Roman" w:cs="Times New Roman"/>
          <w:sz w:val="28"/>
          <w:szCs w:val="28"/>
        </w:rPr>
        <w:t>Національна бібліотека України імені В. І. Вернадського,</w:t>
      </w:r>
    </w:p>
    <w:p w:rsidR="0092484E" w:rsidRPr="00531211" w:rsidRDefault="0092484E" w:rsidP="0092484E">
      <w:pPr>
        <w:adjustRightInd w:val="0"/>
        <w:spacing w:after="0" w:line="360" w:lineRule="auto"/>
        <w:jc w:val="both"/>
        <w:rPr>
          <w:rFonts w:ascii="Times New Roman" w:eastAsia="TimesNewRomanPSMT" w:hAnsi="Times New Roman" w:cs="Times New Roman"/>
          <w:sz w:val="28"/>
          <w:szCs w:val="28"/>
        </w:rPr>
      </w:pPr>
      <w:r w:rsidRPr="00531211">
        <w:rPr>
          <w:rFonts w:ascii="Times New Roman" w:eastAsia="TimesNewRomanPSMT" w:hAnsi="Times New Roman" w:cs="Times New Roman"/>
          <w:sz w:val="28"/>
          <w:szCs w:val="28"/>
        </w:rPr>
        <w:t>м. Київ, Україна</w:t>
      </w:r>
    </w:p>
    <w:p w:rsidR="0092484E" w:rsidRPr="00531211" w:rsidRDefault="0092484E" w:rsidP="0092484E">
      <w:pPr>
        <w:spacing w:after="0" w:line="360" w:lineRule="auto"/>
        <w:jc w:val="both"/>
        <w:rPr>
          <w:rFonts w:ascii="Times New Roman" w:eastAsia="TimesNewRomanPSMT" w:hAnsi="Times New Roman" w:cs="Times New Roman"/>
          <w:sz w:val="28"/>
          <w:szCs w:val="28"/>
        </w:rPr>
      </w:pPr>
      <w:r w:rsidRPr="00531211">
        <w:rPr>
          <w:rFonts w:ascii="Times New Roman" w:eastAsia="TimesNewRomanPSMT" w:hAnsi="Times New Roman" w:cs="Times New Roman"/>
          <w:sz w:val="28"/>
          <w:szCs w:val="28"/>
        </w:rPr>
        <w:t xml:space="preserve">e-mail: </w:t>
      </w:r>
      <w:hyperlink r:id="rId5" w:history="1">
        <w:r w:rsidRPr="00531211">
          <w:rPr>
            <w:rFonts w:ascii="Times New Roman" w:eastAsia="Calibri" w:hAnsi="Times New Roman" w:cs="Times New Roman"/>
            <w:sz w:val="28"/>
            <w:szCs w:val="28"/>
          </w:rPr>
          <w:t>prokopenko@</w:t>
        </w:r>
      </w:hyperlink>
      <w:r w:rsidRPr="00531211">
        <w:rPr>
          <w:rFonts w:ascii="Times New Roman" w:eastAsia="Calibri" w:hAnsi="Times New Roman" w:cs="Times New Roman"/>
          <w:sz w:val="28"/>
          <w:szCs w:val="28"/>
        </w:rPr>
        <w:t>nbuv.gov.ua</w:t>
      </w:r>
    </w:p>
    <w:p w:rsidR="0092484E" w:rsidRPr="00531211" w:rsidRDefault="0092484E" w:rsidP="0092484E">
      <w:pPr>
        <w:spacing w:after="0" w:line="360" w:lineRule="auto"/>
        <w:jc w:val="center"/>
        <w:rPr>
          <w:rFonts w:ascii="Times New Roman" w:eastAsia="Calibri" w:hAnsi="Times New Roman" w:cs="Times New Roman"/>
          <w:b/>
          <w:bCs/>
          <w:sz w:val="28"/>
          <w:szCs w:val="28"/>
        </w:rPr>
      </w:pPr>
    </w:p>
    <w:p w:rsidR="0092484E" w:rsidRPr="00531211" w:rsidRDefault="0092484E" w:rsidP="0092484E">
      <w:pPr>
        <w:spacing w:after="0" w:line="360" w:lineRule="auto"/>
        <w:jc w:val="center"/>
        <w:rPr>
          <w:rFonts w:ascii="Times New Roman" w:eastAsia="Calibri" w:hAnsi="Times New Roman" w:cs="Times New Roman"/>
          <w:b/>
          <w:bCs/>
          <w:sz w:val="28"/>
          <w:szCs w:val="28"/>
        </w:rPr>
      </w:pPr>
      <w:r w:rsidRPr="00531211">
        <w:rPr>
          <w:rFonts w:ascii="Times New Roman" w:eastAsia="Calibri" w:hAnsi="Times New Roman" w:cs="Times New Roman"/>
          <w:b/>
          <w:bCs/>
          <w:sz w:val="28"/>
          <w:szCs w:val="28"/>
        </w:rPr>
        <w:t xml:space="preserve">Роль міжнародних бібліотечних організацій </w:t>
      </w:r>
    </w:p>
    <w:p w:rsidR="0092484E" w:rsidRPr="00531211" w:rsidRDefault="0092484E" w:rsidP="0092484E">
      <w:pPr>
        <w:spacing w:after="0" w:line="360" w:lineRule="auto"/>
        <w:jc w:val="center"/>
        <w:rPr>
          <w:rFonts w:ascii="Times New Roman" w:eastAsia="Calibri" w:hAnsi="Times New Roman" w:cs="Times New Roman"/>
          <w:b/>
          <w:bCs/>
          <w:sz w:val="28"/>
          <w:szCs w:val="28"/>
        </w:rPr>
      </w:pPr>
      <w:r w:rsidRPr="00531211">
        <w:rPr>
          <w:rFonts w:ascii="Times New Roman" w:eastAsia="Calibri" w:hAnsi="Times New Roman" w:cs="Times New Roman"/>
          <w:b/>
          <w:bCs/>
          <w:sz w:val="28"/>
          <w:szCs w:val="28"/>
        </w:rPr>
        <w:t>у підвищенні обізнаності бібліотекарів щодо штучного інтелекту</w:t>
      </w:r>
    </w:p>
    <w:p w:rsidR="0092484E" w:rsidRPr="00531211" w:rsidRDefault="0092484E" w:rsidP="0092484E">
      <w:pPr>
        <w:spacing w:after="0" w:line="360" w:lineRule="auto"/>
        <w:jc w:val="center"/>
        <w:rPr>
          <w:rFonts w:ascii="Times New Roman" w:eastAsia="Calibri" w:hAnsi="Times New Roman" w:cs="Times New Roman"/>
          <w:b/>
          <w:sz w:val="28"/>
          <w:szCs w:val="28"/>
        </w:rPr>
      </w:pPr>
    </w:p>
    <w:p w:rsidR="0092484E" w:rsidRPr="00531211" w:rsidRDefault="0092484E" w:rsidP="0092484E">
      <w:pPr>
        <w:widowControl w:val="0"/>
        <w:autoSpaceDE w:val="0"/>
        <w:autoSpaceDN w:val="0"/>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Розглянуто проблему формування обізнаності бібліотекарів щодо штучного інтелекту. Проаналізовано діяльність міжнародних бібліотечних організацій, спрямовану на розвиток професійних знань, компетентностей і відповідального використання штучного інтелекту. Запропоновано умовний поділ міжнародних бібліотечних організацій на дві групи залежно від рівня розвитку їхньої діяльності у цій сфері. Підкреслено значення міжнародного досвіду для розвитку цифрових компетентностей бібліотекарів України.</w:t>
      </w:r>
    </w:p>
    <w:p w:rsidR="0092484E" w:rsidRPr="00531211" w:rsidRDefault="0092484E" w:rsidP="0092484E">
      <w:pPr>
        <w:tabs>
          <w:tab w:val="left" w:pos="1985"/>
        </w:tabs>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i/>
          <w:sz w:val="28"/>
          <w:szCs w:val="28"/>
        </w:rPr>
        <w:t>Ключові слова:</w:t>
      </w:r>
      <w:r w:rsidRPr="00531211">
        <w:rPr>
          <w:rFonts w:ascii="Times New Roman" w:eastAsia="Calibri" w:hAnsi="Times New Roman" w:cs="Times New Roman"/>
          <w:sz w:val="28"/>
          <w:szCs w:val="28"/>
        </w:rPr>
        <w:t xml:space="preserve"> штучний інтелект, обізнаність щодо штучного інтелекту, ШІ-грамотність, міжнародні бібліотечні організації, професійний розвиток бібліотекарів.</w:t>
      </w:r>
    </w:p>
    <w:p w:rsidR="0092484E" w:rsidRPr="00531211" w:rsidRDefault="0092484E" w:rsidP="0092484E">
      <w:pPr>
        <w:tabs>
          <w:tab w:val="left" w:pos="1985"/>
        </w:tabs>
        <w:spacing w:after="0" w:line="360" w:lineRule="auto"/>
        <w:jc w:val="both"/>
        <w:rPr>
          <w:rFonts w:ascii="Times New Roman" w:eastAsia="Calibri" w:hAnsi="Times New Roman" w:cs="Times New Roman"/>
          <w:sz w:val="28"/>
          <w:szCs w:val="28"/>
        </w:rPr>
      </w:pP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Стрімкий розвиток технологій штучного інтелекту (далі ШІ) суттєво трансформує бібліотечно-інформаційну сферу, відкриваючи нові можливості для організації доступу до інформаційних ресурсів, управління бібліотечними фондами, надання послуг користувачам, підтримки наукових досліджень та автоматизації професійної діяльності. Водночас використання ШІ супроводжується комплексом етичних, правових, соціальних і технологічних викликів, пов’язаних із захистом приватності, авторського права, прозорістю </w:t>
      </w:r>
      <w:r w:rsidRPr="00531211">
        <w:rPr>
          <w:rFonts w:ascii="Times New Roman" w:eastAsia="Calibri" w:hAnsi="Times New Roman" w:cs="Times New Roman"/>
          <w:sz w:val="28"/>
          <w:szCs w:val="28"/>
        </w:rPr>
        <w:lastRenderedPageBreak/>
        <w:t xml:space="preserve">алгоритмів, достовірністю інформації, упередженістю моделей та відповідальністю за результати їх застосування. За цих умов одним із ключових завдань бібліотечної спільноти стає не лише впровадження нових цифрових технологій, а й формування такого професійного середовища, яке забезпечувало б готовність бібліотекарів до їх відповідального використання. У сучасних дослідженнях інтеграція ШІ в бібліотечну практику розглядається не як черговий етап технологічної модернізації, а як трансформація професії, що переосмислює професійні компетентності та визначає нові напрями розвитку бібліотек як активних учасників глобальної цифрової екосистеми знань. З огляду на це особливого значення набуває готовність бібліотекарів до роботи в умовах поширення технологій ШІ та формування у них відповідного комплексу знань, умінь і професійних цінностей. </w:t>
      </w: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У науковій літературі для характеристики цього процесу використовуються різні поняття, зокрема ШІ-грамотність (грамотність у сфері ШІ) і ШІ-компетентність (компетентність у сфері ШІ), які охоплюють різні аспекти підготовки фахівців до використання технологій ШІ. Незважаючи на певні відмінності між цими категоріями, вони спрямовані на формування у спеціалістів необхідних знань, практичних навичок та етичних засад роботи з ШІ. У найбільш широкому розумінні їх можна розглядати як складники професійної обізнаності щодо ШІ, яка охоплює сукупність знань, уявлень і розуміння можливостей, принципів функціонування, сфер застосування, переваг, обмежень та потенційних ризиків використання технологій ШІ у професійній діяльності. У бібліотечній сфері така обізнаність має комплексний характер і включає кілька взаємопов</w:t>
      </w:r>
      <w:r w:rsidRPr="00531211">
        <w:rPr>
          <w:rFonts w:ascii="Times New Roman" w:eastAsia="TimesNewRomanPSMT" w:hAnsi="Times New Roman" w:cs="Times New Roman"/>
          <w:sz w:val="28"/>
          <w:szCs w:val="28"/>
        </w:rPr>
        <w:t>’</w:t>
      </w:r>
      <w:r w:rsidRPr="00531211">
        <w:rPr>
          <w:rFonts w:ascii="Times New Roman" w:eastAsia="Calibri" w:hAnsi="Times New Roman" w:cs="Times New Roman"/>
          <w:sz w:val="28"/>
          <w:szCs w:val="28"/>
        </w:rPr>
        <w:t>язаних компонентів: технологічний – розуміння принципів функціонування систем ШІ та напрямів їх використання в бібліотеках; інформаційний – здатність критично оцінювати результати, створені системами ШІ, перевіряти їх достовірність та надійність; етичний – усвідомлення ризиків, пов</w:t>
      </w:r>
      <w:r w:rsidRPr="00531211">
        <w:rPr>
          <w:rFonts w:ascii="Times New Roman" w:eastAsia="TimesNewRomanPSMT" w:hAnsi="Times New Roman" w:cs="Times New Roman"/>
          <w:sz w:val="28"/>
          <w:szCs w:val="28"/>
        </w:rPr>
        <w:t>’</w:t>
      </w:r>
      <w:r w:rsidRPr="00531211">
        <w:rPr>
          <w:rFonts w:ascii="Times New Roman" w:eastAsia="Calibri" w:hAnsi="Times New Roman" w:cs="Times New Roman"/>
          <w:sz w:val="28"/>
          <w:szCs w:val="28"/>
        </w:rPr>
        <w:t xml:space="preserve">язаних із захистом персональних даних, авторським правом, дискримінацією, прозорістю алгоритмів та відповідальним використанням технологій; професійний – готовність застосовувати інструменти ШІ для вдосконалення бібліотечних процесів і послуг; освітній – </w:t>
      </w:r>
      <w:r w:rsidRPr="00531211">
        <w:rPr>
          <w:rFonts w:ascii="Times New Roman" w:eastAsia="Calibri" w:hAnsi="Times New Roman" w:cs="Times New Roman"/>
          <w:sz w:val="28"/>
          <w:szCs w:val="28"/>
        </w:rPr>
        <w:lastRenderedPageBreak/>
        <w:t>здатність навчати користувачів безпечному, критичному та відповідальному використанню ШІ.</w:t>
      </w: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Формування такої багатовимірної професійної обізнаності потребує не лише розвитку національних систем підготовки бібліотечних кадрів, а й активного використання міжнародного досвіду. Особливого значення набуває діяльність міжнародних бібліотечних організацій, які дедалі активніше виступають не лише професійними комунікаційними майданчиками, а й центрами вироблення концептуальних підходів до відповідального використання ШІ у бібліотечній сфері й формування професійної політики. Діяльність цих організацій уже не обмежується інформуванням бібліотечної спільноти про нові технології, а охоплює розроблення рекомендаційних і аналітичних документів, формування етичних засад використання ШІ, організацію професійного навчання і підтримку безперервного професійного розвитку бібліотекарів, координацію міжнародного співробітництва та поширення кращих практик. Вивчення діяльності провідних міжнародних бібліотечних організацій свідчить, що питання використання ШІ поступово перетворюється на один із самостійних напрямів їхньої діяльності. Аналіз документів, рекомендацій, програм професійного розвитку та освітніх заходів дає підстави умовно виокремити дві групи таких організацій залежно від рівня розвитку їхньої діяльності у сфері ШІ.</w:t>
      </w: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До першої групи належать організації, для яких проблематика ШІ вже стала одним із пріоритетних напрямів професійної діяльності. Це, насамперед, Міжнародна федерація бібліотечних асоціацій та установ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InternationalFederationofLibraryAssociationsandInstitutions, IFLA, ІФЛА), Міжнародна асоціація університетських бібліотек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InternationalAssociationofScientificandTechnologicalUniversityLibraries, IATUL, ІАТУЛ), Конференція директорів європейських національних бібліотек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ConferenceofEuropeanNationalLibrarians, CENL), Асоціація європейських наукових бібліотек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LiguedesBibliothèquesEuropéennesdeRecherche, LIBER), Консорціум європейських наукових бібліотек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 xml:space="preserve">ConsortiumofEuropeanResearchLibraries, CERL), Європейське бюро </w:t>
      </w:r>
      <w:r w:rsidRPr="00531211">
        <w:rPr>
          <w:rFonts w:ascii="Times New Roman" w:eastAsia="Calibri" w:hAnsi="Times New Roman" w:cs="Times New Roman"/>
          <w:sz w:val="28"/>
          <w:szCs w:val="28"/>
        </w:rPr>
        <w:lastRenderedPageBreak/>
        <w:t>бібліотечних, інформаційних і документаційних асоціацій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EuropeanBureauofLibrary, InformationandDocumentationAssociations, EBLIDA) та інші професійні об</w:t>
      </w:r>
      <w:r w:rsidRPr="00531211">
        <w:rPr>
          <w:rFonts w:ascii="Times New Roman" w:eastAsia="TimesNewRomanPSMT" w:hAnsi="Times New Roman" w:cs="Times New Roman"/>
          <w:sz w:val="28"/>
          <w:szCs w:val="28"/>
        </w:rPr>
        <w:t>’</w:t>
      </w:r>
      <w:r w:rsidRPr="00531211">
        <w:rPr>
          <w:rFonts w:ascii="Times New Roman" w:eastAsia="Calibri" w:hAnsi="Times New Roman" w:cs="Times New Roman"/>
          <w:sz w:val="28"/>
          <w:szCs w:val="28"/>
        </w:rPr>
        <w:t>єднання. Їхня діяльність характеризується системним підходом до висвітлення проблематики ШІ, що охоплює підготовку декларативних, аналітичних і рекомендаційних документів, проведення міжнародних конференцій, круглих столів, вебінарів, професійних дискусій, створення навчальних матеріалів і практичних рекомендацій для бібліотек, зокрема і щодо розвитку професійних компетентностей бібліотекарів. Про стратегічний характер цієї діяльності свідчить і створення у структурі окремих організацій спеціалізованих підрозділів, діяльність яких повністю присвячена питанням ШІ. Так, в ІФЛА функціонує Спеціальна група за інтересами зі штучного інтелекту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ArtificialIntelligenceSpecialInterestGroup), у CENL – Група з впровадження ШІ у бібліотеках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AI inLibrariesNetworkGroup), питання формування спеціальної групи з використання ШІ в університетських бібліотеках розглядається в ІАТУЛ. Створення таких професійних платформ означає перехід від окремих ініціатив до довгострокового системного розвитку цього напряму діяльності.</w:t>
      </w: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Друга група міжнародних бібліотечних організацій охоплює професійні об</w:t>
      </w:r>
      <w:r w:rsidRPr="00531211">
        <w:rPr>
          <w:rFonts w:ascii="Times New Roman" w:eastAsia="TimesNewRomanPSMT" w:hAnsi="Times New Roman" w:cs="Times New Roman"/>
          <w:sz w:val="28"/>
          <w:szCs w:val="28"/>
        </w:rPr>
        <w:t>’</w:t>
      </w:r>
      <w:r w:rsidRPr="00531211">
        <w:rPr>
          <w:rFonts w:ascii="Times New Roman" w:eastAsia="Calibri" w:hAnsi="Times New Roman" w:cs="Times New Roman"/>
          <w:sz w:val="28"/>
          <w:szCs w:val="28"/>
        </w:rPr>
        <w:t>єднання, у діяльності яких розгляд питань, пов</w:t>
      </w:r>
      <w:r w:rsidRPr="00531211">
        <w:rPr>
          <w:rFonts w:ascii="Times New Roman" w:eastAsia="TimesNewRomanPSMT" w:hAnsi="Times New Roman" w:cs="Times New Roman"/>
          <w:sz w:val="28"/>
          <w:szCs w:val="28"/>
        </w:rPr>
        <w:t>’</w:t>
      </w:r>
      <w:r w:rsidRPr="00531211">
        <w:rPr>
          <w:rFonts w:ascii="Times New Roman" w:eastAsia="Calibri" w:hAnsi="Times New Roman" w:cs="Times New Roman"/>
          <w:sz w:val="28"/>
          <w:szCs w:val="28"/>
        </w:rPr>
        <w:t>язаних з ШІ, поки що перебуває на початковому етапі. До них можна віднести, зокрема, Міжнародну асоціацію музичних бібліотек, архівів та центрів документації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InternationalAssociationofMusicLibraries, ArchivesandDocumentationCentres, IAML), Міжнародну раду з дитячої та юнацької книги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InternationalBoardonBooksforYoungPeople, IBBY), Міжнародну асоціацію шкільних бібліотек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InternationalAssociationofSchoolLibrarianship, IASL), Міжнародну асоціацію юридичних бібліотек (</w:t>
      </w:r>
      <w:r w:rsidRPr="00531211">
        <w:rPr>
          <w:rFonts w:ascii="Times New Roman" w:eastAsia="Calibri" w:hAnsi="Times New Roman" w:cs="Times New Roman"/>
          <w:i/>
          <w:iCs/>
          <w:sz w:val="28"/>
          <w:szCs w:val="28"/>
        </w:rPr>
        <w:t xml:space="preserve">англ. </w:t>
      </w:r>
      <w:r w:rsidRPr="00531211">
        <w:rPr>
          <w:rFonts w:ascii="Times New Roman" w:eastAsia="Calibri" w:hAnsi="Times New Roman" w:cs="Times New Roman"/>
          <w:sz w:val="28"/>
          <w:szCs w:val="28"/>
        </w:rPr>
        <w:t xml:space="preserve">InternationalAssociationofLawLibraries, IALL) та інші організації. Наразі проблематика ШІ представлена у їхній діяльності переважно окремими доповідями на конференціях, тематичними дискусіями або поодинокими професійними публікаціями, ще не сформувавшись у самостійний стратегічний напрям діяльності. Разом із тим навіть такі початкові ініціативи свідчать про </w:t>
      </w:r>
      <w:r w:rsidRPr="00531211">
        <w:rPr>
          <w:rFonts w:ascii="Times New Roman" w:eastAsia="Calibri" w:hAnsi="Times New Roman" w:cs="Times New Roman"/>
          <w:sz w:val="28"/>
          <w:szCs w:val="28"/>
        </w:rPr>
        <w:lastRenderedPageBreak/>
        <w:t>поступове усвідомлення бібліотечною спільнотою необхідності осмислення впливу ШІ на бібліотечну професію та підготовку бібліотекарів до роботи в умовах стрімкої цифрової трансформації. Саме тому можна прогнозувати, що найближчими роками питання ШІ посідатимуть дедалі вагоміше місце у діяльності більшості міжнародних бібліотечних організацій незалежно від їхньої спеціалізації.</w:t>
      </w: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Для української бібліотечної спільноти особливого значення набуває відкритий характер діяльності міжнародних бібліотечних організацій. Їхні документи, аналітичні матеріали, рекомендації, вебінари, конференції та освітні ресурси є важливим джерелом актуальних знань про можливості, ризики та перспективи використання ШІ. Це створює сприятливі умови для інтеграції українських бібліотекарів у міжнародний професійний дискурс навіть за відсутності формального членства в міжнародних професійних об</w:t>
      </w:r>
      <w:r w:rsidRPr="00531211">
        <w:rPr>
          <w:rFonts w:ascii="Times New Roman" w:eastAsia="TimesNewRomanPSMT" w:hAnsi="Times New Roman" w:cs="Times New Roman"/>
          <w:sz w:val="28"/>
          <w:szCs w:val="28"/>
        </w:rPr>
        <w:t>’</w:t>
      </w:r>
      <w:r w:rsidRPr="00531211">
        <w:rPr>
          <w:rFonts w:ascii="Times New Roman" w:eastAsia="Calibri" w:hAnsi="Times New Roman" w:cs="Times New Roman"/>
          <w:sz w:val="28"/>
          <w:szCs w:val="28"/>
        </w:rPr>
        <w:t>єднаннях.</w:t>
      </w:r>
    </w:p>
    <w:p w:rsidR="0092484E" w:rsidRPr="00531211" w:rsidRDefault="0092484E" w:rsidP="0092484E">
      <w:pPr>
        <w:tabs>
          <w:tab w:val="left" w:pos="1985"/>
        </w:tabs>
        <w:spacing w:after="0" w:line="360" w:lineRule="auto"/>
        <w:ind w:firstLine="709"/>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Діяльність міжнародних бібліотечних організацій створює важливе підґрунтя для формування і підвищення рівня професійної обізнаності бібліотекарів у сфері ШІ, сприяє розвитку цифрових компетентностей, поширенню принципів етичного та відповідального використання ШІ й може слугувати орієнтиром для розроблення національних програм професійного розвитку та методичних рекомендацій щодо впровадження технологій ШІ в бібліотечну практику України.</w:t>
      </w:r>
    </w:p>
    <w:p w:rsidR="0092484E" w:rsidRPr="00531211" w:rsidRDefault="0092484E" w:rsidP="0092484E">
      <w:pPr>
        <w:spacing w:after="0" w:line="360" w:lineRule="auto"/>
        <w:jc w:val="both"/>
        <w:rPr>
          <w:rFonts w:ascii="Times New Roman" w:eastAsia="Calibri" w:hAnsi="Times New Roman" w:cs="Times New Roman"/>
          <w:sz w:val="28"/>
          <w:szCs w:val="28"/>
          <w:lang w:eastAsia="ru-RU"/>
        </w:rPr>
      </w:pPr>
    </w:p>
    <w:p w:rsidR="0092484E" w:rsidRPr="00531211" w:rsidRDefault="0092484E" w:rsidP="0092484E">
      <w:pPr>
        <w:spacing w:after="0" w:line="360" w:lineRule="auto"/>
        <w:jc w:val="both"/>
        <w:rPr>
          <w:rFonts w:ascii="Times New Roman" w:eastAsia="Calibri" w:hAnsi="Times New Roman" w:cs="Times New Roman"/>
          <w:b/>
          <w:sz w:val="28"/>
          <w:szCs w:val="28"/>
          <w:lang w:val="pl-PL" w:eastAsia="ru-RU"/>
        </w:rPr>
      </w:pPr>
      <w:r w:rsidRPr="00531211">
        <w:rPr>
          <w:rFonts w:ascii="Times New Roman" w:eastAsia="Calibri" w:hAnsi="Times New Roman" w:cs="Times New Roman"/>
          <w:b/>
          <w:sz w:val="28"/>
          <w:szCs w:val="28"/>
          <w:lang w:val="pl-PL" w:eastAsia="ru-RU"/>
        </w:rPr>
        <w:t>Liliia Prokopenko,</w:t>
      </w:r>
    </w:p>
    <w:p w:rsidR="0092484E" w:rsidRPr="00531211" w:rsidRDefault="0092484E" w:rsidP="0092484E">
      <w:pPr>
        <w:autoSpaceDE w:val="0"/>
        <w:autoSpaceDN w:val="0"/>
        <w:adjustRightInd w:val="0"/>
        <w:spacing w:after="0" w:line="360" w:lineRule="auto"/>
        <w:rPr>
          <w:rFonts w:ascii="Times New Roman" w:eastAsia="Calibri" w:hAnsi="Times New Roman" w:cs="Times New Roman"/>
          <w:sz w:val="28"/>
          <w:szCs w:val="28"/>
          <w:lang w:val="pl-PL" w:eastAsia="ru-RU"/>
        </w:rPr>
      </w:pPr>
      <w:r w:rsidRPr="00531211">
        <w:rPr>
          <w:rFonts w:ascii="Times New Roman" w:eastAsia="Calibri" w:hAnsi="Times New Roman" w:cs="Times New Roman"/>
          <w:sz w:val="28"/>
          <w:szCs w:val="28"/>
          <w:lang w:val="pl-PL" w:eastAsia="ru-RU"/>
        </w:rPr>
        <w:t xml:space="preserve">ORCID </w:t>
      </w:r>
      <w:hyperlink r:id="rId6" w:history="1">
        <w:r w:rsidRPr="00531211">
          <w:rPr>
            <w:rFonts w:ascii="Times New Roman" w:eastAsia="Calibri" w:hAnsi="Times New Roman" w:cs="Times New Roman"/>
            <w:sz w:val="28"/>
            <w:szCs w:val="28"/>
            <w:lang w:val="pl-PL" w:eastAsia="ru-RU"/>
          </w:rPr>
          <w:t>https://orcid.org/</w:t>
        </w:r>
        <w:r w:rsidRPr="00531211">
          <w:rPr>
            <w:rFonts w:ascii="Times New Roman" w:eastAsia="Calibri" w:hAnsi="Times New Roman" w:cs="Times New Roman"/>
            <w:sz w:val="28"/>
            <w:szCs w:val="28"/>
            <w:lang w:val="pl-PL"/>
          </w:rPr>
          <w:t>0000-0003-0531-6111</w:t>
        </w:r>
      </w:hyperlink>
      <w:r w:rsidRPr="00531211">
        <w:rPr>
          <w:rFonts w:ascii="Times New Roman" w:eastAsia="Calibri" w:hAnsi="Times New Roman" w:cs="Times New Roman"/>
          <w:sz w:val="28"/>
          <w:szCs w:val="28"/>
          <w:lang w:val="pl-PL" w:eastAsia="ru-RU"/>
        </w:rPr>
        <w:t>,</w:t>
      </w:r>
    </w:p>
    <w:p w:rsidR="0092484E" w:rsidRPr="00531211" w:rsidRDefault="0092484E" w:rsidP="0092484E">
      <w:pPr>
        <w:spacing w:after="0" w:line="360" w:lineRule="auto"/>
        <w:jc w:val="both"/>
        <w:rPr>
          <w:rFonts w:ascii="Times New Roman" w:eastAsia="Calibri" w:hAnsi="Times New Roman" w:cs="Times New Roman"/>
          <w:sz w:val="28"/>
          <w:szCs w:val="28"/>
          <w:lang w:val="en-US" w:eastAsia="ru-RU"/>
        </w:rPr>
      </w:pPr>
      <w:r w:rsidRPr="00531211">
        <w:rPr>
          <w:rFonts w:ascii="Times New Roman" w:eastAsia="NSimSun" w:hAnsi="Times New Roman" w:cs="Times New Roman"/>
          <w:sz w:val="28"/>
          <w:szCs w:val="28"/>
          <w:lang w:val="en-US" w:eastAsia="zh-CN"/>
        </w:rPr>
        <w:t>PhD (History),</w:t>
      </w:r>
      <w:bookmarkStart w:id="0" w:name="_Hlk238559496"/>
      <w:r w:rsidRPr="00531211">
        <w:rPr>
          <w:rFonts w:ascii="Times New Roman" w:eastAsia="Calibri" w:hAnsi="Times New Roman" w:cs="Times New Roman"/>
          <w:sz w:val="28"/>
          <w:szCs w:val="28"/>
          <w:lang w:val="en-US" w:eastAsia="ru-RU"/>
        </w:rPr>
        <w:t xml:space="preserve">Associate Professor, Senior </w:t>
      </w:r>
      <w:r w:rsidRPr="00531211">
        <w:rPr>
          <w:rFonts w:ascii="Times New Roman" w:eastAsia="NSimSun" w:hAnsi="Times New Roman" w:cs="Times New Roman"/>
          <w:sz w:val="28"/>
          <w:szCs w:val="28"/>
          <w:lang w:val="en-US" w:eastAsia="zh-CN"/>
        </w:rPr>
        <w:t>Research Associate</w:t>
      </w:r>
      <w:r w:rsidRPr="00531211">
        <w:rPr>
          <w:rFonts w:ascii="Times New Roman" w:eastAsia="Calibri" w:hAnsi="Times New Roman" w:cs="Times New Roman"/>
          <w:sz w:val="28"/>
          <w:szCs w:val="28"/>
          <w:lang w:val="en-US" w:eastAsia="ru-RU"/>
        </w:rPr>
        <w:t>,</w:t>
      </w:r>
    </w:p>
    <w:bookmarkEnd w:id="0"/>
    <w:p w:rsidR="0092484E" w:rsidRPr="00531211" w:rsidRDefault="0092484E" w:rsidP="0092484E">
      <w:pPr>
        <w:spacing w:after="0" w:line="360" w:lineRule="auto"/>
        <w:jc w:val="both"/>
        <w:rPr>
          <w:rFonts w:ascii="Times New Roman" w:eastAsia="Calibri" w:hAnsi="Times New Roman" w:cs="Times New Roman"/>
          <w:sz w:val="28"/>
          <w:szCs w:val="28"/>
          <w:lang w:val="en-US" w:eastAsia="ru-RU"/>
        </w:rPr>
      </w:pPr>
      <w:r w:rsidRPr="00531211">
        <w:rPr>
          <w:rFonts w:ascii="Times New Roman" w:eastAsia="Calibri" w:hAnsi="Times New Roman" w:cs="Times New Roman"/>
          <w:sz w:val="28"/>
          <w:szCs w:val="28"/>
          <w:lang w:val="en-US" w:eastAsia="ru-RU"/>
        </w:rPr>
        <w:t>Department of International Information and Foreign Relations,</w:t>
      </w:r>
    </w:p>
    <w:p w:rsidR="0092484E" w:rsidRPr="00531211" w:rsidRDefault="0092484E" w:rsidP="0092484E">
      <w:pPr>
        <w:adjustRightInd w:val="0"/>
        <w:spacing w:after="0" w:line="360" w:lineRule="auto"/>
        <w:jc w:val="both"/>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V. I. Vernadskyi National Library of Ukraine,</w:t>
      </w:r>
    </w:p>
    <w:p w:rsidR="0092484E" w:rsidRPr="00531211" w:rsidRDefault="0092484E" w:rsidP="0092484E">
      <w:pPr>
        <w:spacing w:after="0" w:line="360" w:lineRule="auto"/>
        <w:jc w:val="both"/>
        <w:rPr>
          <w:rFonts w:ascii="Times New Roman" w:eastAsia="Calibri" w:hAnsi="Times New Roman" w:cs="Times New Roman"/>
          <w:sz w:val="28"/>
          <w:szCs w:val="28"/>
          <w:lang w:val="en-US" w:eastAsia="ru-RU"/>
        </w:rPr>
      </w:pPr>
      <w:r w:rsidRPr="00531211">
        <w:rPr>
          <w:rFonts w:ascii="Times New Roman" w:eastAsia="Calibri" w:hAnsi="Times New Roman" w:cs="Times New Roman"/>
          <w:sz w:val="28"/>
          <w:szCs w:val="28"/>
          <w:lang w:val="en-US" w:eastAsia="ru-RU"/>
        </w:rPr>
        <w:t>Kyiv, Ukraine</w:t>
      </w:r>
    </w:p>
    <w:p w:rsidR="0092484E" w:rsidRPr="00531211" w:rsidRDefault="0092484E" w:rsidP="0092484E">
      <w:pPr>
        <w:spacing w:after="0" w:line="360" w:lineRule="auto"/>
        <w:jc w:val="both"/>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 xml:space="preserve">е-mail: </w:t>
      </w:r>
      <w:hyperlink r:id="rId7" w:history="1">
        <w:r w:rsidRPr="00531211">
          <w:rPr>
            <w:rFonts w:ascii="Times New Roman" w:eastAsia="Calibri" w:hAnsi="Times New Roman" w:cs="Times New Roman"/>
            <w:sz w:val="28"/>
            <w:szCs w:val="28"/>
            <w:lang w:val="en-US"/>
          </w:rPr>
          <w:t>prokopenko@</w:t>
        </w:r>
      </w:hyperlink>
      <w:r w:rsidRPr="00531211">
        <w:rPr>
          <w:rFonts w:ascii="Times New Roman" w:eastAsia="Calibri" w:hAnsi="Times New Roman" w:cs="Times New Roman"/>
          <w:sz w:val="28"/>
          <w:szCs w:val="28"/>
          <w:lang w:val="en-US"/>
        </w:rPr>
        <w:t>nbuv.gov.ua</w:t>
      </w:r>
    </w:p>
    <w:p w:rsidR="0092484E" w:rsidRPr="00531211" w:rsidRDefault="0092484E" w:rsidP="0092484E">
      <w:pPr>
        <w:widowControl w:val="0"/>
        <w:autoSpaceDE w:val="0"/>
        <w:autoSpaceDN w:val="0"/>
        <w:spacing w:after="0" w:line="360" w:lineRule="auto"/>
        <w:jc w:val="center"/>
        <w:rPr>
          <w:rFonts w:ascii="Times New Roman" w:eastAsia="Arial" w:hAnsi="Times New Roman" w:cs="Times New Roman"/>
          <w:b/>
          <w:sz w:val="28"/>
          <w:szCs w:val="28"/>
          <w:lang w:val="en-US"/>
        </w:rPr>
      </w:pPr>
    </w:p>
    <w:p w:rsidR="0092484E" w:rsidRPr="00531211" w:rsidRDefault="0092484E" w:rsidP="0092484E">
      <w:pPr>
        <w:widowControl w:val="0"/>
        <w:autoSpaceDE w:val="0"/>
        <w:autoSpaceDN w:val="0"/>
        <w:spacing w:after="0" w:line="360" w:lineRule="auto"/>
        <w:jc w:val="center"/>
        <w:rPr>
          <w:rFonts w:ascii="Times New Roman" w:eastAsia="Calibri" w:hAnsi="Times New Roman" w:cs="Times New Roman"/>
          <w:b/>
          <w:sz w:val="28"/>
          <w:szCs w:val="28"/>
          <w:lang w:val="en-US"/>
        </w:rPr>
      </w:pPr>
      <w:r w:rsidRPr="00531211">
        <w:rPr>
          <w:rFonts w:ascii="Times New Roman" w:eastAsia="Calibri" w:hAnsi="Times New Roman" w:cs="Times New Roman"/>
          <w:b/>
          <w:sz w:val="28"/>
          <w:szCs w:val="28"/>
          <w:lang w:val="en-US"/>
        </w:rPr>
        <w:t>The role of international library organizations in raising librarians’ awareness of artificial intelligence</w:t>
      </w:r>
    </w:p>
    <w:p w:rsidR="0092484E" w:rsidRPr="00531211" w:rsidRDefault="0092484E" w:rsidP="0092484E">
      <w:pPr>
        <w:spacing w:after="0" w:line="360" w:lineRule="auto"/>
        <w:rPr>
          <w:rFonts w:ascii="Times New Roman" w:eastAsia="Calibri" w:hAnsi="Times New Roman" w:cs="Times New Roman"/>
          <w:sz w:val="28"/>
          <w:szCs w:val="28"/>
          <w:lang w:val="en-US"/>
        </w:rPr>
      </w:pPr>
    </w:p>
    <w:p w:rsidR="0092484E" w:rsidRPr="00531211" w:rsidRDefault="0092484E" w:rsidP="0092484E">
      <w:pPr>
        <w:spacing w:after="0" w:line="360" w:lineRule="auto"/>
        <w:jc w:val="both"/>
        <w:rPr>
          <w:rFonts w:ascii="Times New Roman" w:eastAsia="Calibri" w:hAnsi="Times New Roman" w:cs="Times New Roman"/>
          <w:sz w:val="28"/>
          <w:szCs w:val="28"/>
          <w:lang w:val="en-US"/>
        </w:rPr>
      </w:pPr>
      <w:r w:rsidRPr="00531211">
        <w:rPr>
          <w:rFonts w:ascii="Times New Roman" w:eastAsia="Calibri" w:hAnsi="Times New Roman" w:cs="Times New Roman"/>
          <w:sz w:val="28"/>
          <w:szCs w:val="28"/>
          <w:lang w:val="en-US"/>
        </w:rPr>
        <w:t>The paper examines the issue of raising librarians’ awareness of artificial intelligence. The activities of international library organizations aimed at fostering professional knowledge, competencies are analyzed. A conditional division of international library organizations into two groups according to the level of development of their activities in this field is proposed. The importance of international experience for enhancing the digital competencies of Ukrainian librarians is highlighted.</w:t>
      </w:r>
    </w:p>
    <w:p w:rsidR="0092484E" w:rsidRPr="00531211" w:rsidRDefault="0092484E" w:rsidP="0092484E">
      <w:pPr>
        <w:tabs>
          <w:tab w:val="left" w:pos="1985"/>
        </w:tabs>
        <w:spacing w:after="0" w:line="360" w:lineRule="auto"/>
        <w:jc w:val="both"/>
        <w:rPr>
          <w:rFonts w:ascii="Times New Roman" w:eastAsia="Calibri" w:hAnsi="Times New Roman" w:cs="Times New Roman"/>
          <w:sz w:val="28"/>
          <w:szCs w:val="28"/>
          <w:lang w:val="en-US"/>
        </w:rPr>
      </w:pPr>
      <w:r w:rsidRPr="00531211">
        <w:rPr>
          <w:rFonts w:ascii="Times New Roman" w:eastAsia="Calibri" w:hAnsi="Times New Roman" w:cs="Times New Roman"/>
          <w:i/>
          <w:sz w:val="28"/>
          <w:szCs w:val="28"/>
          <w:lang w:val="en-US"/>
        </w:rPr>
        <w:t xml:space="preserve">Keywords: </w:t>
      </w:r>
      <w:r w:rsidRPr="00531211">
        <w:rPr>
          <w:rFonts w:ascii="Times New Roman" w:eastAsia="Calibri" w:hAnsi="Times New Roman" w:cs="Times New Roman"/>
          <w:sz w:val="28"/>
          <w:szCs w:val="28"/>
          <w:lang w:val="en-US"/>
        </w:rPr>
        <w:t>artificial intelligence, artificial intelligence awareness, AI-literacy, international library organizations, professional development of librarians.</w:t>
      </w:r>
    </w:p>
    <w:p w:rsidR="0092484E" w:rsidRPr="00531211" w:rsidRDefault="0092484E" w:rsidP="0092484E">
      <w:pPr>
        <w:spacing w:after="0" w:line="360" w:lineRule="auto"/>
        <w:ind w:firstLine="709"/>
        <w:jc w:val="both"/>
        <w:rPr>
          <w:rFonts w:ascii="Times New Roman" w:hAnsi="Times New Roman" w:cs="Times New Roman"/>
          <w:sz w:val="28"/>
          <w:szCs w:val="28"/>
          <w:lang w:val="en-US"/>
        </w:rPr>
      </w:pPr>
    </w:p>
    <w:p w:rsidR="00AE3EED" w:rsidRDefault="00AE3EED">
      <w:bookmarkStart w:id="1" w:name="_GoBack"/>
      <w:bookmarkEnd w:id="1"/>
    </w:p>
    <w:sectPr w:rsidR="00AE3EED" w:rsidSect="004568C7">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Cambria"/>
    <w:panose1 w:val="00000000000000000000"/>
    <w:charset w:val="80"/>
    <w:family w:val="auto"/>
    <w:notTrueType/>
    <w:pitch w:val="default"/>
    <w:sig w:usb0="00000001" w:usb1="09070000" w:usb2="00000010" w:usb3="00000000" w:csb0="000A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2C50E5"/>
    <w:rsid w:val="000C011E"/>
    <w:rsid w:val="002C50E5"/>
    <w:rsid w:val="004568C7"/>
    <w:rsid w:val="0092484E"/>
    <w:rsid w:val="00AE3EE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84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okopenk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rcid.org/0000-0003-0531-6111" TargetMode="External"/><Relationship Id="rId5" Type="http://schemas.openxmlformats.org/officeDocument/2006/relationships/hyperlink" Target="mailto:prokopenko888888@gmail.com" TargetMode="External"/><Relationship Id="rId4" Type="http://schemas.openxmlformats.org/officeDocument/2006/relationships/hyperlink" Target="https://orcid.org/0000-0003-0531-6111"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6727</Words>
  <Characters>3835</Characters>
  <Application>Microsoft Office Word</Application>
  <DocSecurity>0</DocSecurity>
  <Lines>31</Lines>
  <Paragraphs>21</Paragraphs>
  <ScaleCrop>false</ScaleCrop>
  <Company/>
  <LinksUpToDate>false</LinksUpToDate>
  <CharactersWithSpaces>10541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2026-09-16T08:47:00Z</dcterms:created>
  <dcterms:modified xsi:type="dcterms:W3CDTF">2026-09-16T08:47:00Z</dcterms:modified>
</cp:coreProperties>
</file>